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D7B99" w14:textId="61D99F06" w:rsidR="0002087B" w:rsidRPr="00CE0424" w:rsidRDefault="0002087B" w:rsidP="0002087B">
      <w:pPr>
        <w:pStyle w:val="3GPPHeader"/>
        <w:spacing w:after="60"/>
        <w:rPr>
          <w:sz w:val="32"/>
          <w:szCs w:val="32"/>
          <w:highlight w:val="yellow"/>
        </w:rPr>
      </w:pPr>
      <w:r w:rsidRPr="00CE0424">
        <w:t>3GPP TSG-RAN WG</w:t>
      </w:r>
      <w:r>
        <w:t>1</w:t>
      </w:r>
      <w:r w:rsidRPr="00CE0424">
        <w:t xml:space="preserve"> </w:t>
      </w:r>
      <w:r>
        <w:t xml:space="preserve">Meeting </w:t>
      </w:r>
      <w:r w:rsidRPr="00CE0424">
        <w:t>#</w:t>
      </w:r>
      <w:r>
        <w:t>104-e</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Pr>
          <w:sz w:val="32"/>
          <w:szCs w:val="32"/>
        </w:rPr>
        <w:t>2</w:t>
      </w:r>
      <w:r w:rsidRPr="00FA2DE2">
        <w:rPr>
          <w:sz w:val="32"/>
          <w:szCs w:val="32"/>
        </w:rPr>
        <w:t>1</w:t>
      </w:r>
      <w:r w:rsidR="00FA2DE2" w:rsidRPr="00FA2DE2">
        <w:rPr>
          <w:sz w:val="32"/>
          <w:szCs w:val="32"/>
        </w:rPr>
        <w:t>01312</w:t>
      </w:r>
    </w:p>
    <w:p w14:paraId="0DCB6D35" w14:textId="77777777" w:rsidR="0002087B" w:rsidRPr="00CE0424" w:rsidRDefault="0002087B" w:rsidP="0002087B">
      <w:pPr>
        <w:pStyle w:val="3GPPHeader"/>
      </w:pPr>
      <w:r>
        <w:t>Online, 25</w:t>
      </w:r>
      <w:r w:rsidRPr="0083546B">
        <w:rPr>
          <w:vertAlign w:val="superscript"/>
        </w:rPr>
        <w:t>th</w:t>
      </w:r>
      <w:r>
        <w:t xml:space="preserve"> January – 5</w:t>
      </w:r>
      <w:r w:rsidRPr="0083546B">
        <w:rPr>
          <w:vertAlign w:val="superscript"/>
        </w:rPr>
        <w:t>th</w:t>
      </w:r>
      <w:r>
        <w:t xml:space="preserve"> February 2021</w:t>
      </w:r>
    </w:p>
    <w:p w14:paraId="50294ED0" w14:textId="77777777" w:rsidR="0002087B" w:rsidRPr="00CE0424" w:rsidRDefault="0002087B" w:rsidP="0002087B">
      <w:pPr>
        <w:pStyle w:val="3GPPHeader"/>
      </w:pPr>
    </w:p>
    <w:p w14:paraId="5BC1631E" w14:textId="23358525" w:rsidR="0002087B" w:rsidRPr="008F1C4E" w:rsidRDefault="0002087B" w:rsidP="0002087B">
      <w:pPr>
        <w:pStyle w:val="3GPPHeader"/>
        <w:rPr>
          <w:sz w:val="22"/>
          <w:lang w:val="sv-FI"/>
        </w:rPr>
      </w:pPr>
      <w:r w:rsidRPr="008F1C4E">
        <w:rPr>
          <w:sz w:val="22"/>
          <w:lang w:val="sv-FI"/>
        </w:rPr>
        <w:t>Agenda Item:</w:t>
      </w:r>
      <w:r w:rsidRPr="008F1C4E">
        <w:rPr>
          <w:sz w:val="22"/>
          <w:lang w:val="sv-FI"/>
        </w:rPr>
        <w:tab/>
      </w:r>
      <w:r>
        <w:rPr>
          <w:sz w:val="22"/>
          <w:lang w:val="sv-FI"/>
        </w:rPr>
        <w:t>8.2.7</w:t>
      </w:r>
    </w:p>
    <w:p w14:paraId="250462C5" w14:textId="77777777" w:rsidR="0002087B" w:rsidRPr="00CE0424" w:rsidRDefault="0002087B" w:rsidP="0002087B">
      <w:pPr>
        <w:pStyle w:val="3GPPHeader"/>
        <w:rPr>
          <w:sz w:val="22"/>
        </w:rPr>
      </w:pPr>
      <w:r>
        <w:rPr>
          <w:sz w:val="22"/>
        </w:rPr>
        <w:t>Source:</w:t>
      </w:r>
      <w:r w:rsidRPr="00CE0424">
        <w:rPr>
          <w:sz w:val="22"/>
        </w:rPr>
        <w:tab/>
        <w:t>Ericsson</w:t>
      </w:r>
    </w:p>
    <w:p w14:paraId="344DF67C" w14:textId="472D9B3C" w:rsidR="0002087B" w:rsidRPr="00CE0424" w:rsidRDefault="0002087B" w:rsidP="0002087B">
      <w:pPr>
        <w:pStyle w:val="3GPPHeader"/>
        <w:rPr>
          <w:sz w:val="22"/>
        </w:rPr>
      </w:pPr>
      <w:r>
        <w:rPr>
          <w:sz w:val="22"/>
        </w:rPr>
        <w:t>Title:</w:t>
      </w:r>
      <w:r w:rsidRPr="00CE0424">
        <w:rPr>
          <w:sz w:val="22"/>
        </w:rPr>
        <w:tab/>
      </w:r>
      <w:r w:rsidR="00FA2DE2">
        <w:rPr>
          <w:sz w:val="22"/>
        </w:rPr>
        <w:t>NR channelization for 52.6 – 71 GHz band</w:t>
      </w:r>
    </w:p>
    <w:p w14:paraId="2DF5C180" w14:textId="77777777" w:rsidR="0002087B" w:rsidRPr="00CE0424" w:rsidRDefault="0002087B" w:rsidP="0002087B">
      <w:pPr>
        <w:pStyle w:val="3GPPHeader"/>
        <w:rPr>
          <w:sz w:val="22"/>
        </w:rPr>
      </w:pPr>
      <w:r w:rsidRPr="00CE0424">
        <w:rPr>
          <w:sz w:val="22"/>
        </w:rPr>
        <w:t>Document for:</w:t>
      </w:r>
      <w:r w:rsidRPr="00CE0424">
        <w:rPr>
          <w:sz w:val="22"/>
        </w:rPr>
        <w:tab/>
      </w:r>
      <w:r w:rsidRPr="000237A3">
        <w:rPr>
          <w:sz w:val="22"/>
        </w:rPr>
        <w:t>Discussion, Decision</w:t>
      </w:r>
    </w:p>
    <w:p w14:paraId="36A422B9" w14:textId="7E849B70" w:rsidR="0002087B" w:rsidRDefault="0002087B" w:rsidP="0002087B">
      <w:pPr>
        <w:pStyle w:val="Heading1"/>
      </w:pPr>
      <w:r>
        <w:t>1</w:t>
      </w:r>
      <w:r>
        <w:tab/>
      </w:r>
      <w:r w:rsidRPr="00CE0424">
        <w:t>Introduction</w:t>
      </w:r>
    </w:p>
    <w:p w14:paraId="0435280A" w14:textId="026047B6" w:rsidR="00D31579" w:rsidRPr="00CE0424" w:rsidRDefault="00FA2DE2" w:rsidP="0002087B">
      <w:pPr>
        <w:pStyle w:val="BodyText"/>
      </w:pPr>
      <w:r>
        <w:t>In this contribution we discuss design of channelization for NR operati</w:t>
      </w:r>
      <w:bookmarkStart w:id="0" w:name="_GoBack"/>
      <w:bookmarkEnd w:id="0"/>
      <w:r>
        <w:t>ng in the 52.6 – 71 GHz band.</w:t>
      </w:r>
    </w:p>
    <w:p w14:paraId="45C779F7" w14:textId="0A6A4DA8" w:rsidR="00FA2DE2" w:rsidRDefault="00FA2DE2" w:rsidP="00FA2DE2">
      <w:pPr>
        <w:pStyle w:val="Heading1"/>
      </w:pPr>
      <w:r>
        <w:t>2</w:t>
      </w:r>
      <w:r>
        <w:tab/>
        <w:t>Discussion on NR channelization</w:t>
      </w:r>
    </w:p>
    <w:p w14:paraId="32199D5B" w14:textId="035EE63E" w:rsidR="005F7C4A" w:rsidRDefault="005F7C4A" w:rsidP="00FA2DE2">
      <w:pPr>
        <w:rPr>
          <w:lang w:val="en-GB" w:eastAsia="ja-JP"/>
        </w:rPr>
      </w:pPr>
      <w:r w:rsidRPr="006E4D01">
        <w:rPr>
          <w:noProof/>
          <w:lang w:val="en-GB" w:eastAsia="ja-JP"/>
        </w:rPr>
        <mc:AlternateContent>
          <mc:Choice Requires="wps">
            <w:drawing>
              <wp:anchor distT="45720" distB="45720" distL="114300" distR="114300" simplePos="0" relativeHeight="251659264" behindDoc="0" locked="0" layoutInCell="1" allowOverlap="1" wp14:anchorId="1662C06F" wp14:editId="1E599FCB">
                <wp:simplePos x="0" y="0"/>
                <wp:positionH relativeFrom="margin">
                  <wp:align>right</wp:align>
                </wp:positionH>
                <wp:positionV relativeFrom="paragraph">
                  <wp:posOffset>708246</wp:posOffset>
                </wp:positionV>
                <wp:extent cx="6102350" cy="1367790"/>
                <wp:effectExtent l="0" t="0" r="12700" b="2286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367790"/>
                        </a:xfrm>
                        <a:prstGeom prst="rect">
                          <a:avLst/>
                        </a:prstGeom>
                        <a:solidFill>
                          <a:srgbClr val="FFFFFF"/>
                        </a:solidFill>
                        <a:ln w="9525">
                          <a:solidFill>
                            <a:srgbClr val="000000"/>
                          </a:solidFill>
                          <a:miter lim="800000"/>
                          <a:headEnd/>
                          <a:tailEnd/>
                        </a:ln>
                      </wps:spPr>
                      <wps:txbx>
                        <w:txbxContent>
                          <w:p w14:paraId="7A234865" w14:textId="77777777" w:rsidR="005F7C4A" w:rsidRDefault="005F7C4A" w:rsidP="005F7C4A">
                            <w:pPr>
                              <w:numPr>
                                <w:ilvl w:val="0"/>
                                <w:numId w:val="23"/>
                              </w:numPr>
                              <w:overflowPunct w:val="0"/>
                              <w:autoSpaceDE w:val="0"/>
                              <w:autoSpaceDN w:val="0"/>
                              <w:adjustRightInd w:val="0"/>
                              <w:spacing w:after="0" w:line="240" w:lineRule="auto"/>
                              <w:textAlignment w:val="baseline"/>
                              <w:rPr>
                                <w:rFonts w:ascii="Times New Roman" w:eastAsia="SimSun" w:hAnsi="Times New Roman" w:cs="Times New Roman"/>
                                <w:szCs w:val="20"/>
                                <w:lang w:val="en-GB" w:eastAsia="ja-JP"/>
                              </w:rPr>
                            </w:pPr>
                            <w:r w:rsidRPr="006E4D01">
                              <w:rPr>
                                <w:rFonts w:ascii="Times New Roman" w:eastAsia="SimSun" w:hAnsi="Times New Roman" w:cs="Times New Roman" w:hint="eastAsia"/>
                                <w:szCs w:val="20"/>
                                <w:lang w:val="en-GB" w:eastAsia="ja-JP"/>
                              </w:rPr>
                              <w:t>Physical layer aspects</w:t>
                            </w:r>
                            <w:r w:rsidRPr="006E4D01">
                              <w:rPr>
                                <w:rFonts w:ascii="Times New Roman" w:eastAsia="SimSun" w:hAnsi="Times New Roman" w:cs="Times New Roman"/>
                                <w:szCs w:val="20"/>
                                <w:lang w:val="en-GB" w:eastAsia="ja-JP"/>
                              </w:rPr>
                              <w:t xml:space="preserve"> including [RAN1]</w:t>
                            </w:r>
                            <w:r w:rsidRPr="006E4D01">
                              <w:rPr>
                                <w:rFonts w:ascii="Times New Roman" w:eastAsia="SimSun" w:hAnsi="Times New Roman" w:cs="Times New Roman" w:hint="eastAsia"/>
                                <w:szCs w:val="20"/>
                                <w:lang w:val="en-GB" w:eastAsia="ja-JP"/>
                              </w:rPr>
                              <w:t>:</w:t>
                            </w:r>
                          </w:p>
                          <w:p w14:paraId="369D3CBC" w14:textId="77777777" w:rsidR="005F7C4A" w:rsidRPr="006E4D01" w:rsidRDefault="005F7C4A" w:rsidP="005F7C4A">
                            <w:pPr>
                              <w:overflowPunct w:val="0"/>
                              <w:autoSpaceDE w:val="0"/>
                              <w:autoSpaceDN w:val="0"/>
                              <w:adjustRightInd w:val="0"/>
                              <w:spacing w:after="0" w:line="240" w:lineRule="auto"/>
                              <w:ind w:left="720"/>
                              <w:textAlignment w:val="baseline"/>
                              <w:rPr>
                                <w:rFonts w:ascii="Times New Roman" w:eastAsia="SimSun" w:hAnsi="Times New Roman" w:cs="Times New Roman"/>
                                <w:szCs w:val="20"/>
                                <w:lang w:val="en-GB" w:eastAsia="ja-JP"/>
                              </w:rPr>
                            </w:pPr>
                          </w:p>
                          <w:p w14:paraId="492FBD75" w14:textId="77777777" w:rsidR="005F7C4A" w:rsidRDefault="005F7C4A" w:rsidP="005F7C4A">
                            <w:pPr>
                              <w:numPr>
                                <w:ilvl w:val="1"/>
                                <w:numId w:val="23"/>
                              </w:numPr>
                              <w:overflowPunct w:val="0"/>
                              <w:autoSpaceDE w:val="0"/>
                              <w:autoSpaceDN w:val="0"/>
                              <w:adjustRightInd w:val="0"/>
                              <w:spacing w:after="0" w:line="240" w:lineRule="auto"/>
                              <w:textAlignment w:val="baseline"/>
                              <w:rPr>
                                <w:rFonts w:ascii="Times New Roman" w:eastAsia="SimSun" w:hAnsi="Times New Roman" w:cs="Times New Roman"/>
                                <w:szCs w:val="20"/>
                                <w:lang w:val="en-GB" w:eastAsia="ja-JP"/>
                              </w:rPr>
                            </w:pPr>
                            <w:r w:rsidRPr="006E4D01">
                              <w:rPr>
                                <w:rFonts w:ascii="Times New Roman" w:eastAsia="SimSun" w:hAnsi="Times New Roman" w:cs="Times New Roman"/>
                                <w:szCs w:val="20"/>
                                <w:lang w:val="en-GB" w:eastAsia="ja-JP"/>
                              </w:rPr>
                              <w:t xml:space="preserve">In addition to 120kHz SCS, specify </w:t>
                            </w:r>
                            <w:r w:rsidRPr="006E4D01">
                              <w:rPr>
                                <w:rFonts w:ascii="Times New Roman" w:eastAsia="SimSun" w:hAnsi="Times New Roman" w:cs="Times New Roman"/>
                                <w:szCs w:val="20"/>
                                <w:lang w:val="en-GB" w:eastAsia="zh-CN"/>
                              </w:rPr>
                              <w:t xml:space="preserve">new SCS, </w:t>
                            </w:r>
                            <w:r w:rsidRPr="006E4D01">
                              <w:rPr>
                                <w:rFonts w:ascii="Times New Roman" w:eastAsia="SimSun" w:hAnsi="Times New Roman" w:cs="Times New Roman"/>
                                <w:szCs w:val="20"/>
                                <w:lang w:val="en-GB" w:eastAsia="ja-JP"/>
                              </w:rPr>
                              <w:t xml:space="preserve">480kHz and 960kHz, and </w:t>
                            </w:r>
                            <w:r w:rsidRPr="006E4D01">
                              <w:rPr>
                                <w:rFonts w:ascii="Times New Roman" w:eastAsia="SimSun" w:hAnsi="Times New Roman" w:cs="Times New Roman"/>
                                <w:szCs w:val="20"/>
                                <w:highlight w:val="yellow"/>
                                <w:lang w:val="en-GB" w:eastAsia="ja-JP"/>
                              </w:rPr>
                              <w:t>define maximum bandwidth(s)</w:t>
                            </w:r>
                            <w:r w:rsidRPr="006E4D01">
                              <w:rPr>
                                <w:rFonts w:ascii="Times New Roman" w:eastAsia="SimSun" w:hAnsi="Times New Roman" w:cs="Times New Roman"/>
                                <w:szCs w:val="20"/>
                                <w:lang w:val="en-GB" w:eastAsia="ja-JP"/>
                              </w:rPr>
                              <w:t xml:space="preserve">, for operation in this frequency range for data and control channels and reference signals, only NCP supported. </w:t>
                            </w:r>
                          </w:p>
                          <w:p w14:paraId="4783FE15" w14:textId="77777777" w:rsidR="005F7C4A" w:rsidRDefault="005F7C4A" w:rsidP="005F7C4A">
                            <w:pPr>
                              <w:overflowPunct w:val="0"/>
                              <w:autoSpaceDE w:val="0"/>
                              <w:autoSpaceDN w:val="0"/>
                              <w:adjustRightInd w:val="0"/>
                              <w:spacing w:after="0" w:line="240" w:lineRule="auto"/>
                              <w:textAlignment w:val="baseline"/>
                              <w:rPr>
                                <w:rFonts w:ascii="Times New Roman" w:eastAsia="SimSun" w:hAnsi="Times New Roman" w:cs="Times New Roman"/>
                                <w:szCs w:val="20"/>
                                <w:lang w:val="en-GB" w:eastAsia="ja-JP"/>
                              </w:rPr>
                            </w:pPr>
                          </w:p>
                          <w:p w14:paraId="2DB73788" w14:textId="77777777" w:rsidR="005F7C4A" w:rsidRPr="006E4D01" w:rsidRDefault="005F7C4A" w:rsidP="005F7C4A">
                            <w:pPr>
                              <w:pStyle w:val="B2"/>
                              <w:ind w:left="720" w:firstLine="0"/>
                              <w:rPr>
                                <w:lang w:eastAsia="zh-CN"/>
                              </w:rPr>
                            </w:pPr>
                            <w:r w:rsidRPr="000B6573">
                              <w:rPr>
                                <w:lang w:eastAsia="zh-CN"/>
                              </w:rPr>
                              <w:t>Note 3: The maximum FFT size required to operate the system in 52.6GHz</w:t>
                            </w:r>
                            <w:r>
                              <w:rPr>
                                <w:lang w:eastAsia="zh-CN"/>
                              </w:rPr>
                              <w:t>-</w:t>
                            </w:r>
                            <w:r w:rsidRPr="000B6573">
                              <w:rPr>
                                <w:lang w:eastAsia="zh-CN"/>
                              </w:rPr>
                              <w:t>71GHz frequency is 4096, and the maximum of RBs per carrier is 275 RBs.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662C06F" id="_x0000_t202" coordsize="21600,21600" o:spt="202" path="m,l,21600r21600,l21600,xe">
                <v:stroke joinstyle="miter"/>
                <v:path gradientshapeok="t" o:connecttype="rect"/>
              </v:shapetype>
              <v:shape id="Text Box 2" o:spid="_x0000_s1026" type="#_x0000_t202" style="position:absolute;margin-left:429.3pt;margin-top:55.75pt;width:480.5pt;height:107.7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">
                <v:textbox style="mso-fit-shape-to-text:t">
                  <w:txbxContent>
                    <w:p w14:paraId="7A234865" w14:textId="77777777" w:rsidR="005F7C4A" w:rsidRDefault="005F7C4A" w:rsidP="005F7C4A">
                      <w:pPr>
                        <w:numPr>
                          <w:ilvl w:val="0"/>
                          <w:numId w:val="23"/>
                        </w:numPr>
                        <w:overflowPunct w:val="0"/>
                        <w:autoSpaceDE w:val="0"/>
                        <w:autoSpaceDN w:val="0"/>
                        <w:adjustRightInd w:val="0"/>
                        <w:spacing w:after="0" w:line="240" w:lineRule="auto"/>
                        <w:textAlignment w:val="baseline"/>
                        <w:rPr>
                          <w:rFonts w:ascii="Times New Roman" w:eastAsia="SimSun" w:hAnsi="Times New Roman" w:cs="Times New Roman"/>
                          <w:szCs w:val="20"/>
                          <w:lang w:val="en-GB" w:eastAsia="ja-JP"/>
                        </w:rPr>
                      </w:pPr>
                      <w:r w:rsidRPr="006E4D01">
                        <w:rPr>
                          <w:rFonts w:ascii="Times New Roman" w:eastAsia="SimSun" w:hAnsi="Times New Roman" w:cs="Times New Roman" w:hint="eastAsia"/>
                          <w:szCs w:val="20"/>
                          <w:lang w:val="en-GB" w:eastAsia="ja-JP"/>
                        </w:rPr>
                        <w:t>Physical layer aspects</w:t>
                      </w:r>
                      <w:r w:rsidRPr="006E4D01">
                        <w:rPr>
                          <w:rFonts w:ascii="Times New Roman" w:eastAsia="SimSun" w:hAnsi="Times New Roman" w:cs="Times New Roman"/>
                          <w:szCs w:val="20"/>
                          <w:lang w:val="en-GB" w:eastAsia="ja-JP"/>
                        </w:rPr>
                        <w:t xml:space="preserve"> including [RAN1]</w:t>
                      </w:r>
                      <w:r w:rsidRPr="006E4D01">
                        <w:rPr>
                          <w:rFonts w:ascii="Times New Roman" w:eastAsia="SimSun" w:hAnsi="Times New Roman" w:cs="Times New Roman" w:hint="eastAsia"/>
                          <w:szCs w:val="20"/>
                          <w:lang w:val="en-GB" w:eastAsia="ja-JP"/>
                        </w:rPr>
                        <w:t>:</w:t>
                      </w:r>
                    </w:p>
                    <w:p w14:paraId="369D3CBC" w14:textId="77777777" w:rsidR="005F7C4A" w:rsidRPr="006E4D01" w:rsidRDefault="005F7C4A" w:rsidP="005F7C4A">
                      <w:pPr>
                        <w:overflowPunct w:val="0"/>
                        <w:autoSpaceDE w:val="0"/>
                        <w:autoSpaceDN w:val="0"/>
                        <w:adjustRightInd w:val="0"/>
                        <w:spacing w:after="0" w:line="240" w:lineRule="auto"/>
                        <w:ind w:left="720"/>
                        <w:textAlignment w:val="baseline"/>
                        <w:rPr>
                          <w:rFonts w:ascii="Times New Roman" w:eastAsia="SimSun" w:hAnsi="Times New Roman" w:cs="Times New Roman"/>
                          <w:szCs w:val="20"/>
                          <w:lang w:val="en-GB" w:eastAsia="ja-JP"/>
                        </w:rPr>
                      </w:pPr>
                    </w:p>
                    <w:p w14:paraId="492FBD75" w14:textId="77777777" w:rsidR="005F7C4A" w:rsidRDefault="005F7C4A" w:rsidP="005F7C4A">
                      <w:pPr>
                        <w:numPr>
                          <w:ilvl w:val="1"/>
                          <w:numId w:val="23"/>
                        </w:numPr>
                        <w:overflowPunct w:val="0"/>
                        <w:autoSpaceDE w:val="0"/>
                        <w:autoSpaceDN w:val="0"/>
                        <w:adjustRightInd w:val="0"/>
                        <w:spacing w:after="0" w:line="240" w:lineRule="auto"/>
                        <w:textAlignment w:val="baseline"/>
                        <w:rPr>
                          <w:rFonts w:ascii="Times New Roman" w:eastAsia="SimSun" w:hAnsi="Times New Roman" w:cs="Times New Roman"/>
                          <w:szCs w:val="20"/>
                          <w:lang w:val="en-GB" w:eastAsia="ja-JP"/>
                        </w:rPr>
                      </w:pPr>
                      <w:r w:rsidRPr="006E4D01">
                        <w:rPr>
                          <w:rFonts w:ascii="Times New Roman" w:eastAsia="SimSun" w:hAnsi="Times New Roman" w:cs="Times New Roman"/>
                          <w:szCs w:val="20"/>
                          <w:lang w:val="en-GB" w:eastAsia="ja-JP"/>
                        </w:rPr>
                        <w:t xml:space="preserve">In addition to 120kHz SCS, specify </w:t>
                      </w:r>
                      <w:r w:rsidRPr="006E4D01">
                        <w:rPr>
                          <w:rFonts w:ascii="Times New Roman" w:eastAsia="SimSun" w:hAnsi="Times New Roman" w:cs="Times New Roman"/>
                          <w:szCs w:val="20"/>
                          <w:lang w:val="en-GB" w:eastAsia="zh-CN"/>
                        </w:rPr>
                        <w:t xml:space="preserve">new SCS, </w:t>
                      </w:r>
                      <w:r w:rsidRPr="006E4D01">
                        <w:rPr>
                          <w:rFonts w:ascii="Times New Roman" w:eastAsia="SimSun" w:hAnsi="Times New Roman" w:cs="Times New Roman"/>
                          <w:szCs w:val="20"/>
                          <w:lang w:val="en-GB" w:eastAsia="ja-JP"/>
                        </w:rPr>
                        <w:t xml:space="preserve">480kHz and 960kHz, and </w:t>
                      </w:r>
                      <w:r w:rsidRPr="006E4D01">
                        <w:rPr>
                          <w:rFonts w:ascii="Times New Roman" w:eastAsia="SimSun" w:hAnsi="Times New Roman" w:cs="Times New Roman"/>
                          <w:szCs w:val="20"/>
                          <w:highlight w:val="yellow"/>
                          <w:lang w:val="en-GB" w:eastAsia="ja-JP"/>
                        </w:rPr>
                        <w:t>define maximum bandwidth(s)</w:t>
                      </w:r>
                      <w:r w:rsidRPr="006E4D01">
                        <w:rPr>
                          <w:rFonts w:ascii="Times New Roman" w:eastAsia="SimSun" w:hAnsi="Times New Roman" w:cs="Times New Roman"/>
                          <w:szCs w:val="20"/>
                          <w:lang w:val="en-GB" w:eastAsia="ja-JP"/>
                        </w:rPr>
                        <w:t xml:space="preserve">, for operation in this frequency range for data and control channels and reference signals, only NCP supported. </w:t>
                      </w:r>
                    </w:p>
                    <w:p w14:paraId="4783FE15" w14:textId="77777777" w:rsidR="005F7C4A" w:rsidRDefault="005F7C4A" w:rsidP="005F7C4A">
                      <w:pPr>
                        <w:overflowPunct w:val="0"/>
                        <w:autoSpaceDE w:val="0"/>
                        <w:autoSpaceDN w:val="0"/>
                        <w:adjustRightInd w:val="0"/>
                        <w:spacing w:after="0" w:line="240" w:lineRule="auto"/>
                        <w:textAlignment w:val="baseline"/>
                        <w:rPr>
                          <w:rFonts w:ascii="Times New Roman" w:eastAsia="SimSun" w:hAnsi="Times New Roman" w:cs="Times New Roman"/>
                          <w:szCs w:val="20"/>
                          <w:lang w:val="en-GB" w:eastAsia="ja-JP"/>
                        </w:rPr>
                      </w:pPr>
                    </w:p>
                    <w:p w14:paraId="2DB73788" w14:textId="77777777" w:rsidR="005F7C4A" w:rsidRPr="006E4D01" w:rsidRDefault="005F7C4A" w:rsidP="005F7C4A">
                      <w:pPr>
                        <w:pStyle w:val="B2"/>
                        <w:ind w:left="720" w:firstLine="0"/>
                        <w:rPr>
                          <w:lang w:eastAsia="zh-CN"/>
                        </w:rPr>
                      </w:pPr>
                      <w:r w:rsidRPr="000B6573">
                        <w:rPr>
                          <w:lang w:eastAsia="zh-CN"/>
                        </w:rPr>
                        <w:t>Note 3: The maximum FFT size required to operate the system in 52.6GHz</w:t>
                      </w:r>
                      <w:r>
                        <w:rPr>
                          <w:lang w:eastAsia="zh-CN"/>
                        </w:rPr>
                        <w:t>-</w:t>
                      </w:r>
                      <w:r w:rsidRPr="000B6573">
                        <w:rPr>
                          <w:lang w:eastAsia="zh-CN"/>
                        </w:rPr>
                        <w:t>71GHz frequency is 4096, and the maximum of RBs per carrier is 275 RBs.</w:t>
                      </w:r>
                    </w:p>
                  </w:txbxContent>
                </v:textbox>
                <w10:wrap type="topAndBottom" anchorx="margin"/>
              </v:shape>
            </w:pict>
          </mc:Fallback>
        </mc:AlternateContent>
      </w:r>
      <w:r w:rsidR="00971FB8">
        <w:rPr>
          <w:lang w:eastAsia="zh-CN"/>
        </w:rPr>
        <w:t xml:space="preserve">While </w:t>
      </w:r>
      <w:r>
        <w:rPr>
          <w:lang w:eastAsia="zh-CN"/>
        </w:rPr>
        <w:t xml:space="preserve">a detailed band plan for the 52.6 – 71 GHz band including channel raster, sync raster, precise spectral utilization, etc. </w:t>
      </w:r>
      <w:r w:rsidR="00971FB8">
        <w:rPr>
          <w:lang w:eastAsia="zh-CN"/>
        </w:rPr>
        <w:t xml:space="preserve">is </w:t>
      </w:r>
      <w:r>
        <w:rPr>
          <w:lang w:eastAsia="zh-CN"/>
        </w:rPr>
        <w:t xml:space="preserve">in </w:t>
      </w:r>
      <w:r w:rsidR="00971FB8">
        <w:rPr>
          <w:lang w:eastAsia="zh-CN"/>
        </w:rPr>
        <w:t xml:space="preserve">the purview of RAN4, it is nonetheless </w:t>
      </w:r>
      <w:r>
        <w:rPr>
          <w:lang w:eastAsia="zh-CN"/>
        </w:rPr>
        <w:t>i</w:t>
      </w:r>
      <w:r w:rsidR="00971FB8">
        <w:rPr>
          <w:lang w:eastAsia="zh-CN"/>
        </w:rPr>
        <w:t xml:space="preserve">nstructive from a RAN1 point of view to consider some of the design issues. </w:t>
      </w:r>
      <w:r>
        <w:rPr>
          <w:lang w:eastAsia="zh-CN"/>
        </w:rPr>
        <w:t>For example, w</w:t>
      </w:r>
      <w:r w:rsidR="00971FB8">
        <w:rPr>
          <w:lang w:eastAsia="zh-CN"/>
        </w:rPr>
        <w:t xml:space="preserve">e note that </w:t>
      </w:r>
      <w:r>
        <w:rPr>
          <w:lang w:eastAsia="zh-CN"/>
        </w:rPr>
        <w:t xml:space="preserve">as captured in the WID </w:t>
      </w:r>
      <w:r>
        <w:rPr>
          <w:lang w:eastAsia="zh-CN"/>
        </w:rPr>
        <w:fldChar w:fldCharType="begin"/>
      </w:r>
      <w:r>
        <w:rPr>
          <w:lang w:eastAsia="zh-CN"/>
        </w:rPr>
        <w:instrText xml:space="preserve"> REF _Ref60753713 \r \h </w:instrText>
      </w:r>
      <w:r>
        <w:rPr>
          <w:lang w:eastAsia="zh-CN"/>
        </w:rPr>
      </w:r>
      <w:r>
        <w:rPr>
          <w:lang w:eastAsia="zh-CN"/>
        </w:rPr>
        <w:fldChar w:fldCharType="separate"/>
      </w:r>
      <w:r w:rsidR="00313D61">
        <w:rPr>
          <w:lang w:eastAsia="zh-CN"/>
        </w:rPr>
        <w:t>[1]</w:t>
      </w:r>
      <w:r>
        <w:rPr>
          <w:lang w:eastAsia="zh-CN"/>
        </w:rPr>
        <w:fldChar w:fldCharType="end"/>
      </w:r>
      <w:r>
        <w:rPr>
          <w:lang w:eastAsia="zh-CN"/>
        </w:rPr>
        <w:t xml:space="preserve">, </w:t>
      </w:r>
      <w:r>
        <w:rPr>
          <w:lang w:val="en-GB" w:eastAsia="ja-JP"/>
        </w:rPr>
        <w:t>RAN1 should decide on the maximum bandwidth(s) for new SCS(s) 480 and 960 kHz.</w:t>
      </w:r>
    </w:p>
    <w:p w14:paraId="6073ADE4" w14:textId="01FDF0FB" w:rsidR="005F7C4A" w:rsidRDefault="005F7C4A" w:rsidP="005F7C4A">
      <w:pPr>
        <w:spacing w:before="120"/>
        <w:rPr>
          <w:lang w:val="en-GB" w:eastAsia="ja-JP"/>
        </w:rPr>
      </w:pPr>
      <w:r>
        <w:rPr>
          <w:lang w:val="en-GB" w:eastAsia="ja-JP"/>
        </w:rPr>
        <w:t xml:space="preserve">In Section 2.6 of our companion contribution </w:t>
      </w:r>
      <w:r w:rsidR="00C41998">
        <w:rPr>
          <w:lang w:val="en-GB" w:eastAsia="ja-JP"/>
        </w:rPr>
        <w:fldChar w:fldCharType="begin"/>
      </w:r>
      <w:r w:rsidR="00C41998">
        <w:rPr>
          <w:lang w:val="en-GB" w:eastAsia="ja-JP"/>
        </w:rPr>
        <w:instrText xml:space="preserve"> REF _Ref61877083 \r \h </w:instrText>
      </w:r>
      <w:r w:rsidR="00C41998">
        <w:rPr>
          <w:lang w:val="en-GB" w:eastAsia="ja-JP"/>
        </w:rPr>
      </w:r>
      <w:r w:rsidR="00C41998">
        <w:rPr>
          <w:lang w:val="en-GB" w:eastAsia="ja-JP"/>
        </w:rPr>
        <w:fldChar w:fldCharType="separate"/>
      </w:r>
      <w:r w:rsidR="00313D61">
        <w:rPr>
          <w:lang w:val="en-GB" w:eastAsia="ja-JP"/>
        </w:rPr>
        <w:t>[2]</w:t>
      </w:r>
      <w:r w:rsidR="00C41998">
        <w:rPr>
          <w:lang w:val="en-GB" w:eastAsia="ja-JP"/>
        </w:rPr>
        <w:fldChar w:fldCharType="end"/>
      </w:r>
      <w:r w:rsidR="00C41998">
        <w:rPr>
          <w:lang w:val="en-GB" w:eastAsia="ja-JP"/>
        </w:rPr>
        <w:t xml:space="preserve"> </w:t>
      </w:r>
      <w:r>
        <w:rPr>
          <w:lang w:val="en-GB" w:eastAsia="ja-JP"/>
        </w:rPr>
        <w:t>we propose the following regarding maximum bandwidths:</w:t>
      </w:r>
    </w:p>
    <w:p w14:paraId="697FDFC2" w14:textId="055E1F9A" w:rsidR="00E20319" w:rsidRDefault="00131E84" w:rsidP="00E20319">
      <w:pPr>
        <w:pStyle w:val="Proposal"/>
        <w:tabs>
          <w:tab w:val="num" w:pos="1310"/>
        </w:tabs>
        <w:ind w:left="1310" w:hanging="1310"/>
      </w:pPr>
      <w:bookmarkStart w:id="1" w:name="_Toc61864059"/>
      <w:bookmarkStart w:id="2" w:name="_Ref61883737"/>
      <w:bookmarkStart w:id="3" w:name="_Ref61884507"/>
      <w:bookmarkStart w:id="4" w:name="_Ref61884516"/>
      <w:bookmarkStart w:id="5" w:name="_Toc61884530"/>
      <w:bookmarkStart w:id="6" w:name="_Hlk61875814"/>
      <w:r>
        <w:t>Inform RAN4 that from a RAN1 perspective it is feasible to define the maximum channel bandwidth for 960 kHz SCS to be in the range B = [2000</w:t>
      </w:r>
      <w:proofErr w:type="gramStart"/>
      <w:r>
        <w:t xml:space="preserve"> ..</w:t>
      </w:r>
      <w:proofErr w:type="gramEnd"/>
      <w:r>
        <w:t xml:space="preserve"> 2160 MHz] and for 480 kHz SCS as B </w:t>
      </w:r>
      <w:r>
        <w:rPr>
          <w:rFonts w:cs="Arial"/>
        </w:rPr>
        <w:t>≈</w:t>
      </w:r>
      <w:r>
        <w:t xml:space="preserve"> 1600 MHz, using an FFT size of 4096. The precise values of B depend at least on the desired channelization design, the desired spectral utilization value (ratio of transmission BW configuration to channel BW), and a target FFT utilization value</w:t>
      </w:r>
      <w:r w:rsidR="00E20319">
        <w:t>).</w:t>
      </w:r>
      <w:bookmarkEnd w:id="1"/>
      <w:bookmarkEnd w:id="2"/>
      <w:bookmarkEnd w:id="3"/>
      <w:bookmarkEnd w:id="4"/>
      <w:bookmarkEnd w:id="5"/>
    </w:p>
    <w:bookmarkEnd w:id="6"/>
    <w:p w14:paraId="109ED006" w14:textId="7D1B0579" w:rsidR="00FA2DE2" w:rsidRPr="003C2819" w:rsidRDefault="005F7C4A" w:rsidP="00FA2DE2">
      <w:pPr>
        <w:rPr>
          <w:lang w:eastAsia="zh-CN"/>
        </w:rPr>
      </w:pPr>
      <w:r>
        <w:rPr>
          <w:lang w:eastAsia="zh-CN"/>
        </w:rPr>
        <w:t xml:space="preserve">Here we discuss </w:t>
      </w:r>
      <w:r w:rsidR="00FA2DE2">
        <w:rPr>
          <w:lang w:eastAsia="zh-CN"/>
        </w:rPr>
        <w:t>high level principles for an NR channelization design and band plan</w:t>
      </w:r>
      <w:r>
        <w:rPr>
          <w:lang w:eastAsia="zh-CN"/>
        </w:rPr>
        <w:t xml:space="preserve"> accounting for these maximum bandwidths</w:t>
      </w:r>
      <w:r w:rsidR="00FA2DE2">
        <w:rPr>
          <w:lang w:eastAsia="zh-CN"/>
        </w:rPr>
        <w:t>.</w:t>
      </w:r>
    </w:p>
    <w:p w14:paraId="73919B39" w14:textId="211247DC" w:rsidR="00FA2DE2" w:rsidRDefault="00FA2DE2" w:rsidP="00FA2DE2">
      <w:pPr>
        <w:pStyle w:val="BodyText"/>
        <w:keepNext/>
      </w:pPr>
      <w:r>
        <w:fldChar w:fldCharType="begin"/>
      </w:r>
      <w:r>
        <w:instrText xml:space="preserve"> REF _Ref53057845 \h  \* MERGEFORMAT </w:instrText>
      </w:r>
      <w:r>
        <w:fldChar w:fldCharType="separate"/>
      </w:r>
      <w:r w:rsidR="00313D61" w:rsidRPr="00313D61">
        <w:t>Figure 1</w:t>
      </w:r>
      <w:r>
        <w:fldChar w:fldCharType="end"/>
      </w:r>
      <w:r>
        <w:t xml:space="preserve"> illustrates the spectrum allocations in the 14 GHz frequency range spanning 57 – 71 GHz in various regions around the world taken from Table </w:t>
      </w:r>
      <w:r w:rsidRPr="00EC6DAA">
        <w:t>4.2.1-</w:t>
      </w:r>
      <w:r>
        <w:t xml:space="preserve">1 of </w:t>
      </w:r>
      <w:r w:rsidR="00C41998">
        <w:fldChar w:fldCharType="begin"/>
      </w:r>
      <w:r w:rsidR="00C41998">
        <w:instrText xml:space="preserve"> REF _Ref61876331 \r \h </w:instrText>
      </w:r>
      <w:r w:rsidR="00C41998">
        <w:fldChar w:fldCharType="separate"/>
      </w:r>
      <w:r w:rsidR="00313D61">
        <w:t>[3]</w:t>
      </w:r>
      <w:r w:rsidR="00C41998">
        <w:fldChar w:fldCharType="end"/>
      </w:r>
      <w:r>
        <w:t xml:space="preserve"> with updates related to the IMT plan by CEPT. As can be seen, the regional frequency allocations consist of different subsets of a set of {2, 5, 2, 5} GHz blocks. The US and Europe/CEPT have the largest allocations – all 14 MHz allocated to unlicensed. Other regions have smaller allocations, with China having the smallest (5 GHz). A 5 GHz block allocated to IMT (licensed </w:t>
      </w:r>
      <w:r>
        <w:lastRenderedPageBreak/>
        <w:t>operation) in Europe is also defined from 66 – 71 GHz which overlaps with the upper part of the unlicensed allocation in Europe.</w:t>
      </w:r>
    </w:p>
    <w:p w14:paraId="029A5B80" w14:textId="77777777" w:rsidR="00FA2DE2" w:rsidRDefault="00FA2DE2" w:rsidP="00FA2DE2">
      <w:pPr>
        <w:pStyle w:val="BodyText"/>
        <w:keepNext/>
        <w:ind w:left="-720"/>
      </w:pPr>
      <w:r>
        <w:rPr>
          <w:noProof/>
        </w:rPr>
        <w:drawing>
          <wp:inline distT="0" distB="0" distL="0" distR="0" wp14:anchorId="4D551564" wp14:editId="54226FD3">
            <wp:extent cx="6858000" cy="1682496"/>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858000" cy="1682496"/>
                    </a:xfrm>
                    <a:prstGeom prst="rect">
                      <a:avLst/>
                    </a:prstGeom>
                  </pic:spPr>
                </pic:pic>
              </a:graphicData>
            </a:graphic>
          </wp:inline>
        </w:drawing>
      </w:r>
    </w:p>
    <w:p w14:paraId="76B4FB17" w14:textId="7FA60129" w:rsidR="00FA2DE2" w:rsidRPr="00E612C8" w:rsidRDefault="00FA2DE2" w:rsidP="00FA2DE2">
      <w:pPr>
        <w:pStyle w:val="Caption"/>
        <w:jc w:val="center"/>
        <w:rPr>
          <w:rFonts w:cs="Arial"/>
        </w:rPr>
      </w:pPr>
      <w:bookmarkStart w:id="7" w:name="_Ref53057845"/>
      <w:r w:rsidRPr="003C2819">
        <w:rPr>
          <w:rFonts w:cs="Arial"/>
        </w:rPr>
        <w:t xml:space="preserve">Figure </w:t>
      </w:r>
      <w:r>
        <w:rPr>
          <w:rFonts w:cs="Arial"/>
        </w:rPr>
        <w:fldChar w:fldCharType="begin"/>
      </w:r>
      <w:r w:rsidRPr="00E216C4">
        <w:rPr>
          <w:rFonts w:cs="Arial"/>
        </w:rPr>
        <w:instrText xml:space="preserve"> SEQ Figure \* ARABIC </w:instrText>
      </w:r>
      <w:r>
        <w:rPr>
          <w:rFonts w:cs="Arial"/>
        </w:rPr>
        <w:fldChar w:fldCharType="separate"/>
      </w:r>
      <w:r w:rsidR="00313D61">
        <w:rPr>
          <w:rFonts w:cs="Arial"/>
          <w:noProof/>
        </w:rPr>
        <w:t>1</w:t>
      </w:r>
      <w:r>
        <w:rPr>
          <w:rFonts w:cs="Arial"/>
        </w:rPr>
        <w:fldChar w:fldCharType="end"/>
      </w:r>
      <w:bookmarkEnd w:id="7"/>
      <w:r w:rsidRPr="003C2819">
        <w:rPr>
          <w:rFonts w:cs="Arial"/>
        </w:rPr>
        <w:t xml:space="preserve">: Regional frequency allocations from </w:t>
      </w:r>
      <w:r w:rsidR="00C41998">
        <w:rPr>
          <w:rFonts w:cs="Arial"/>
        </w:rPr>
        <w:fldChar w:fldCharType="begin"/>
      </w:r>
      <w:r w:rsidR="00C41998">
        <w:rPr>
          <w:rFonts w:cs="Arial"/>
        </w:rPr>
        <w:instrText xml:space="preserve"> REF _Ref61876331 \r \h </w:instrText>
      </w:r>
      <w:r w:rsidR="00C41998">
        <w:rPr>
          <w:rFonts w:cs="Arial"/>
        </w:rPr>
      </w:r>
      <w:r w:rsidR="00C41998">
        <w:rPr>
          <w:rFonts w:cs="Arial"/>
        </w:rPr>
        <w:fldChar w:fldCharType="separate"/>
      </w:r>
      <w:r w:rsidR="00313D61">
        <w:rPr>
          <w:rFonts w:cs="Arial"/>
        </w:rPr>
        <w:t>[3]</w:t>
      </w:r>
      <w:r w:rsidR="00C41998">
        <w:rPr>
          <w:rFonts w:cs="Arial"/>
        </w:rPr>
        <w:fldChar w:fldCharType="end"/>
      </w:r>
      <w:r w:rsidRPr="003C2819">
        <w:rPr>
          <w:rFonts w:cs="Arial"/>
        </w:rPr>
        <w:t xml:space="preserve"> and 802.11ad channelization</w:t>
      </w:r>
    </w:p>
    <w:p w14:paraId="73764167" w14:textId="218614CE" w:rsidR="00FA2DE2" w:rsidRDefault="00FA2DE2" w:rsidP="00FA2DE2">
      <w:pPr>
        <w:pStyle w:val="BodyText"/>
      </w:pPr>
      <w:r>
        <w:t xml:space="preserve">Figure 1 also shows the six 2.16 GHz channels defined by the IEEE 802.11ad standard. Evidently, if NR would adopt </w:t>
      </w:r>
      <w:r w:rsidR="007E3F6A">
        <w:t xml:space="preserve">a rigid channelization design such that all channels are strictly confined to be within the 2.16 GHz channels defined by </w:t>
      </w:r>
      <w:r>
        <w:t>IEEE 802.11ad, a large wastage of spectrum would occur:</w:t>
      </w:r>
    </w:p>
    <w:p w14:paraId="1AB80428" w14:textId="77777777" w:rsidR="00FA2DE2" w:rsidRDefault="00FA2DE2" w:rsidP="00FA2DE2">
      <w:pPr>
        <w:pStyle w:val="BodyText"/>
        <w:numPr>
          <w:ilvl w:val="0"/>
          <w:numId w:val="33"/>
        </w:numPr>
        <w:overflowPunct w:val="0"/>
        <w:autoSpaceDE w:val="0"/>
        <w:autoSpaceDN w:val="0"/>
        <w:adjustRightInd w:val="0"/>
        <w:spacing w:after="0" w:line="240" w:lineRule="auto"/>
        <w:textAlignment w:val="baseline"/>
      </w:pPr>
      <w:r>
        <w:t>240 MHz at the lower edge of the band is unused in all regions</w:t>
      </w:r>
    </w:p>
    <w:p w14:paraId="20843033" w14:textId="77777777" w:rsidR="00FA2DE2" w:rsidRDefault="00FA2DE2" w:rsidP="00FA2DE2">
      <w:pPr>
        <w:pStyle w:val="BodyText"/>
        <w:numPr>
          <w:ilvl w:val="0"/>
          <w:numId w:val="33"/>
        </w:numPr>
        <w:overflowPunct w:val="0"/>
        <w:autoSpaceDE w:val="0"/>
        <w:autoSpaceDN w:val="0"/>
        <w:adjustRightInd w:val="0"/>
        <w:spacing w:after="0" w:line="240" w:lineRule="auto"/>
        <w:textAlignment w:val="baseline"/>
      </w:pPr>
      <w:r>
        <w:t>800 MHz at the upper edge of the band is unused in USA and Europe</w:t>
      </w:r>
    </w:p>
    <w:p w14:paraId="0A39DAD0" w14:textId="77777777" w:rsidR="00FA2DE2" w:rsidRDefault="00FA2DE2" w:rsidP="00FA2DE2">
      <w:pPr>
        <w:pStyle w:val="BodyText"/>
        <w:numPr>
          <w:ilvl w:val="0"/>
          <w:numId w:val="33"/>
        </w:numPr>
        <w:overflowPunct w:val="0"/>
        <w:autoSpaceDE w:val="0"/>
        <w:autoSpaceDN w:val="0"/>
        <w:adjustRightInd w:val="0"/>
        <w:spacing w:after="0" w:line="240" w:lineRule="auto"/>
        <w:textAlignment w:val="baseline"/>
      </w:pPr>
      <w:r>
        <w:t>680 MHz of the 5 GHz allocation in China is unused</w:t>
      </w:r>
    </w:p>
    <w:p w14:paraId="688C1F92" w14:textId="50F85AFF" w:rsidR="00FA2DE2" w:rsidRDefault="00FA2DE2" w:rsidP="00FA2DE2">
      <w:pPr>
        <w:pStyle w:val="BodyText"/>
        <w:numPr>
          <w:ilvl w:val="1"/>
          <w:numId w:val="33"/>
        </w:numPr>
        <w:overflowPunct w:val="0"/>
        <w:autoSpaceDE w:val="0"/>
        <w:autoSpaceDN w:val="0"/>
        <w:adjustRightInd w:val="0"/>
        <w:spacing w:after="0" w:line="240" w:lineRule="auto"/>
        <w:textAlignment w:val="baseline"/>
      </w:pPr>
      <w:r>
        <w:t xml:space="preserve">In recognizing the need to have at least three channels for cell planning </w:t>
      </w:r>
      <w:r>
        <w:fldChar w:fldCharType="begin"/>
      </w:r>
      <w:r>
        <w:instrText xml:space="preserve"> REF _Ref53119110 \r \h </w:instrText>
      </w:r>
      <w:r>
        <w:fldChar w:fldCharType="separate"/>
      </w:r>
      <w:r w:rsidR="00313D61">
        <w:t>[6]</w:t>
      </w:r>
      <w:r>
        <w:fldChar w:fldCharType="end"/>
      </w:r>
      <w:r>
        <w:t>, IEEE 802.11aj standard defined four 1.08 GHz channels nested within the two 2.16 GHz channels for the 60 GHz band in China. As a result, the spectrum wastage issues are left unaddressed in the 802.11aj channelization.</w:t>
      </w:r>
    </w:p>
    <w:p w14:paraId="62A42537" w14:textId="77777777" w:rsidR="00FA2DE2" w:rsidRDefault="00FA2DE2" w:rsidP="00FA2DE2">
      <w:pPr>
        <w:pStyle w:val="BodyText"/>
        <w:numPr>
          <w:ilvl w:val="0"/>
          <w:numId w:val="33"/>
        </w:numPr>
        <w:overflowPunct w:val="0"/>
        <w:autoSpaceDE w:val="0"/>
        <w:autoSpaceDN w:val="0"/>
        <w:adjustRightInd w:val="0"/>
        <w:spacing w:after="0" w:line="240" w:lineRule="auto"/>
        <w:textAlignment w:val="baseline"/>
      </w:pPr>
      <w:r>
        <w:t>280 MHz of the 7 GHz allocation in Canada/Brazil/Mexico is unused</w:t>
      </w:r>
    </w:p>
    <w:p w14:paraId="4E348E83" w14:textId="77777777" w:rsidR="00FA2DE2" w:rsidRDefault="00FA2DE2" w:rsidP="00FA2DE2">
      <w:pPr>
        <w:pStyle w:val="BodyText"/>
        <w:numPr>
          <w:ilvl w:val="0"/>
          <w:numId w:val="33"/>
        </w:numPr>
        <w:overflowPunct w:val="0"/>
        <w:autoSpaceDE w:val="0"/>
        <w:autoSpaceDN w:val="0"/>
        <w:adjustRightInd w:val="0"/>
        <w:spacing w:line="240" w:lineRule="auto"/>
        <w:textAlignment w:val="baseline"/>
      </w:pPr>
      <w:r>
        <w:t>In the IMT (licensed) allocation in Europe, one out of the 2 available 2.16 GHz channels is unusable since it extends outside the IMT allocation</w:t>
      </w:r>
    </w:p>
    <w:p w14:paraId="71AC7372" w14:textId="0AC642BC" w:rsidR="00FA2DE2" w:rsidRDefault="00FA2DE2" w:rsidP="007E3F6A">
      <w:pPr>
        <w:pStyle w:val="Observation"/>
      </w:pPr>
      <w:bookmarkStart w:id="8" w:name="_Toc53776182"/>
      <w:bookmarkStart w:id="9" w:name="_Toc61884528"/>
      <w:r w:rsidRPr="00F74B15">
        <w:t xml:space="preserve">If NR </w:t>
      </w:r>
      <w:r w:rsidR="007E3F6A">
        <w:t>would adopt a rigid</w:t>
      </w:r>
      <w:r w:rsidRPr="00F74B15">
        <w:t xml:space="preserve"> channelization design </w:t>
      </w:r>
      <w:r w:rsidR="007E3F6A">
        <w:t xml:space="preserve">such that all channels are strictly confined to be within the 2.16 GHz channels defined by IEEE 802.11ad, a large wastage of spectrum would occur </w:t>
      </w:r>
      <w:r w:rsidRPr="00F74B15">
        <w:t>in many regions</w:t>
      </w:r>
      <w:r w:rsidR="007E3F6A">
        <w:t xml:space="preserve"> of the world</w:t>
      </w:r>
      <w:r>
        <w:t>.</w:t>
      </w:r>
      <w:bookmarkEnd w:id="8"/>
      <w:bookmarkEnd w:id="9"/>
    </w:p>
    <w:p w14:paraId="5FF74681" w14:textId="40BB9661" w:rsidR="007E3F6A" w:rsidRDefault="00FA2DE2" w:rsidP="00FA2DE2">
      <w:pPr>
        <w:pStyle w:val="BodyText"/>
      </w:pPr>
      <w:r>
        <w:t xml:space="preserve">Here we consider an alternate proposal for a band plan that is much better aligned to the regional frequency allocations.  </w:t>
      </w:r>
      <w:r w:rsidR="007E3F6A">
        <w:t xml:space="preserve">We start by considering the maximum bandwidth corresponding to 480 kHz SCS which is nominally 1.6 GHz (see </w:t>
      </w:r>
      <w:r w:rsidR="00313D61">
        <w:fldChar w:fldCharType="begin"/>
      </w:r>
      <w:r w:rsidR="00313D61">
        <w:instrText xml:space="preserve"> REF _Ref61884507 \r \h </w:instrText>
      </w:r>
      <w:r w:rsidR="00313D61">
        <w:fldChar w:fldCharType="separate"/>
      </w:r>
      <w:r w:rsidR="00313D61">
        <w:t>Proposal 1</w:t>
      </w:r>
      <w:r w:rsidR="00313D61">
        <w:fldChar w:fldCharType="end"/>
      </w:r>
      <w:r w:rsidR="007E3F6A">
        <w:t>). Later we consider the maximum bandwidth corresponding to 960 kHz SCS (</w:t>
      </w:r>
      <w:r w:rsidR="00E20319">
        <w:t xml:space="preserve">2 – 2.16 </w:t>
      </w:r>
      <w:r w:rsidR="007E3F6A">
        <w:t xml:space="preserve">GHz as in </w:t>
      </w:r>
      <w:r w:rsidR="00313D61">
        <w:fldChar w:fldCharType="begin"/>
      </w:r>
      <w:r w:rsidR="00313D61">
        <w:instrText xml:space="preserve"> REF _Ref61884516 \r \h </w:instrText>
      </w:r>
      <w:r w:rsidR="00313D61">
        <w:fldChar w:fldCharType="separate"/>
      </w:r>
      <w:r w:rsidR="00313D61">
        <w:t>Proposal 1</w:t>
      </w:r>
      <w:r w:rsidR="00313D61">
        <w:fldChar w:fldCharType="end"/>
      </w:r>
      <w:r w:rsidR="007E3F6A">
        <w:t>)</w:t>
      </w:r>
      <w:r w:rsidR="002D4F3E">
        <w:t>.</w:t>
      </w:r>
    </w:p>
    <w:p w14:paraId="47447030" w14:textId="25646C44" w:rsidR="00FA2DE2" w:rsidRDefault="00FA2DE2" w:rsidP="00FA2DE2">
      <w:pPr>
        <w:pStyle w:val="BodyText"/>
      </w:pPr>
      <w:r>
        <w:t>The starting point of the band plan is to sub-divide the smallest regional allocations (China, IMT in Europe) into 3 nominal 1.6 GHz channels in order to make full use of those allocations. The nominal 1.6 GHz channels are further sub-divided into nominal 800 and 400 MHz channels. We show that the resulting channel spacing for all channel bandwidths fully utilizes the 14 GHz of available spectrum. We point out that it may be beneficial to consider minimum channel bandwidth less than 400 MHz</w:t>
      </w:r>
      <w:r w:rsidR="002D4F3E">
        <w:t xml:space="preserve"> (e.g., 200 MHz) to allow for finer granularity channel assignments where very large data rates may not be needed. Smaller minimum bandwidth may also be beneficial for</w:t>
      </w:r>
      <w:r>
        <w:t xml:space="preserve"> the IMT allocation in Europe, where it is not clear what size spectrum blocks will be available for licensed operation.</w:t>
      </w:r>
      <w:r w:rsidR="002D4F3E">
        <w:t xml:space="preserve"> </w:t>
      </w:r>
    </w:p>
    <w:p w14:paraId="6120D6BB" w14:textId="4068062E" w:rsidR="002D4F3E" w:rsidRDefault="00FA2DE2" w:rsidP="00FA2DE2">
      <w:pPr>
        <w:pStyle w:val="BodyText"/>
      </w:pPr>
      <w:r>
        <w:t xml:space="preserve">In the proposed band plan, we assume 480 kHz SCS and the 5 GHz band in China/Europe (IMT) is divided into 3/6/12 </w:t>
      </w:r>
      <w:r w:rsidRPr="003C2819">
        <w:rPr>
          <w:i/>
          <w:iCs/>
        </w:rPr>
        <w:t>nominal</w:t>
      </w:r>
      <w:r>
        <w:t xml:space="preserve"> 1600/800/400 MHz channels that are nested. This results in the actual channel bandwidths 4*B / 2*B / B where B = 408.96 </w:t>
      </w:r>
      <w:proofErr w:type="spellStart"/>
      <w:r>
        <w:t>MHz</w:t>
      </w:r>
      <w:r w:rsidR="002D4F3E">
        <w:t>.</w:t>
      </w:r>
      <w:proofErr w:type="spellEnd"/>
      <w:r w:rsidR="002D4F3E">
        <w:t xml:space="preserve"> As discussed in </w:t>
      </w:r>
      <w:r w:rsidR="002D4F3E">
        <w:fldChar w:fldCharType="begin"/>
      </w:r>
      <w:r w:rsidR="002D4F3E">
        <w:instrText xml:space="preserve"> REF _Ref61877083 \r \h </w:instrText>
      </w:r>
      <w:r w:rsidR="002D4F3E">
        <w:fldChar w:fldCharType="separate"/>
      </w:r>
      <w:r w:rsidR="00313D61">
        <w:t>[2]</w:t>
      </w:r>
      <w:r w:rsidR="002D4F3E">
        <w:fldChar w:fldCharType="end"/>
      </w:r>
      <w:r w:rsidR="002D4F3E">
        <w:t>, this value is determined based on an exemplary target spectral utilization (90%) value and FFT utilization value (75%). We emphasize that these values are used for exemplary purposes only. Precise values are to be decided by RAN4.</w:t>
      </w:r>
    </w:p>
    <w:p w14:paraId="2790B463" w14:textId="41660C32" w:rsidR="00FA2DE2" w:rsidRDefault="00FA2DE2" w:rsidP="00FA2DE2">
      <w:pPr>
        <w:pStyle w:val="BodyText"/>
      </w:pPr>
      <w:r w:rsidRPr="00A84D00">
        <w:fldChar w:fldCharType="begin"/>
      </w:r>
      <w:r w:rsidRPr="004942D1">
        <w:instrText xml:space="preserve"> REF _Ref53062284 \h </w:instrText>
      </w:r>
      <w:r w:rsidRPr="003C2819">
        <w:instrText xml:space="preserve"> \* MERGEFORMAT </w:instrText>
      </w:r>
      <w:r w:rsidRPr="00A84D00">
        <w:fldChar w:fldCharType="separate"/>
      </w:r>
      <w:r w:rsidR="00313D61" w:rsidRPr="003C2819">
        <w:rPr>
          <w:rFonts w:cs="Arial"/>
        </w:rPr>
        <w:t xml:space="preserve">Figure </w:t>
      </w:r>
      <w:r w:rsidR="00313D61">
        <w:rPr>
          <w:rFonts w:cs="Arial"/>
        </w:rPr>
        <w:t>2</w:t>
      </w:r>
      <w:r w:rsidRPr="00A84D00">
        <w:fldChar w:fldCharType="end"/>
      </w:r>
      <w:r>
        <w:t xml:space="preserve"> shows the proposed band plan that fully utilizes the frequency allocations in all regions. The number of nominal 1600/800/400 MHz channels in the regions are given by the following:</w:t>
      </w:r>
    </w:p>
    <w:p w14:paraId="7564F05C" w14:textId="57796B0F" w:rsidR="00FA2DE2" w:rsidRPr="004F69A1" w:rsidRDefault="00FA2DE2" w:rsidP="00FA2DE2">
      <w:pPr>
        <w:pStyle w:val="Caption"/>
        <w:jc w:val="center"/>
        <w:rPr>
          <w:rFonts w:cs="Arial"/>
        </w:rPr>
      </w:pPr>
      <w:r w:rsidRPr="004F69A1">
        <w:rPr>
          <w:rFonts w:cs="Arial"/>
        </w:rPr>
        <w:t xml:space="preserve">Table </w:t>
      </w:r>
      <w:r w:rsidRPr="004F69A1">
        <w:rPr>
          <w:rFonts w:cs="Arial"/>
        </w:rPr>
        <w:fldChar w:fldCharType="begin"/>
      </w:r>
      <w:r w:rsidRPr="004F69A1">
        <w:rPr>
          <w:rFonts w:cs="Arial"/>
        </w:rPr>
        <w:instrText xml:space="preserve"> SEQ Table \* ARABIC </w:instrText>
      </w:r>
      <w:r w:rsidRPr="004F69A1">
        <w:rPr>
          <w:rFonts w:cs="Arial"/>
        </w:rPr>
        <w:fldChar w:fldCharType="separate"/>
      </w:r>
      <w:r w:rsidR="00313D61">
        <w:rPr>
          <w:rFonts w:cs="Arial"/>
          <w:noProof/>
        </w:rPr>
        <w:t>1</w:t>
      </w:r>
      <w:r w:rsidRPr="004F69A1">
        <w:rPr>
          <w:rFonts w:cs="Arial"/>
        </w:rPr>
        <w:fldChar w:fldCharType="end"/>
      </w:r>
      <w:r w:rsidRPr="004F69A1">
        <w:rPr>
          <w:rFonts w:cs="Arial"/>
        </w:rPr>
        <w:t xml:space="preserve">: Number of </w:t>
      </w:r>
      <w:r>
        <w:rPr>
          <w:rFonts w:cs="Arial"/>
        </w:rPr>
        <w:t xml:space="preserve">1600 / 800 / 400 MHz </w:t>
      </w:r>
      <w:r w:rsidRPr="004F69A1">
        <w:rPr>
          <w:rFonts w:cs="Arial"/>
        </w:rPr>
        <w:t xml:space="preserve">nominal channels per region in proposed example NR band plan in in </w:t>
      </w:r>
      <w:r w:rsidRPr="004F69A1">
        <w:rPr>
          <w:rFonts w:cs="Arial"/>
        </w:rPr>
        <w:fldChar w:fldCharType="begin"/>
      </w:r>
      <w:r w:rsidRPr="004F69A1">
        <w:rPr>
          <w:rFonts w:cs="Arial"/>
        </w:rPr>
        <w:instrText xml:space="preserve"> REF _Ref53062284 \h </w:instrText>
      </w:r>
      <w:r>
        <w:rPr>
          <w:rFonts w:cs="Arial"/>
        </w:rPr>
        <w:instrText xml:space="preserve"> \* MERGEFORMAT </w:instrText>
      </w:r>
      <w:r w:rsidRPr="004F69A1">
        <w:rPr>
          <w:rFonts w:cs="Arial"/>
        </w:rPr>
      </w:r>
      <w:r w:rsidRPr="004F69A1">
        <w:rPr>
          <w:rFonts w:cs="Arial"/>
        </w:rPr>
        <w:fldChar w:fldCharType="separate"/>
      </w:r>
      <w:r w:rsidR="00313D61" w:rsidRPr="003C2819">
        <w:rPr>
          <w:rFonts w:cs="Arial"/>
        </w:rPr>
        <w:t xml:space="preserve">Figure </w:t>
      </w:r>
      <w:r w:rsidR="00313D61">
        <w:rPr>
          <w:rFonts w:cs="Arial"/>
        </w:rPr>
        <w:t>2</w:t>
      </w:r>
      <w:r w:rsidRPr="004F69A1">
        <w:rPr>
          <w:rFonts w:cs="Arial"/>
        </w:rPr>
        <w:fldChar w:fldCharType="end"/>
      </w:r>
    </w:p>
    <w:tbl>
      <w:tblPr>
        <w:tblStyle w:val="TableGrid"/>
        <w:tblW w:w="0" w:type="auto"/>
        <w:jc w:val="center"/>
        <w:tblLook w:val="04A0" w:firstRow="1" w:lastRow="0" w:firstColumn="1" w:lastColumn="0" w:noHBand="0" w:noVBand="1"/>
      </w:tblPr>
      <w:tblGrid>
        <w:gridCol w:w="5305"/>
        <w:gridCol w:w="2070"/>
      </w:tblGrid>
      <w:tr w:rsidR="00FA2DE2" w14:paraId="7B6C3E95" w14:textId="77777777" w:rsidTr="00AF4646">
        <w:trPr>
          <w:jc w:val="center"/>
        </w:trPr>
        <w:tc>
          <w:tcPr>
            <w:tcW w:w="5305" w:type="dxa"/>
          </w:tcPr>
          <w:p w14:paraId="3C65F4AE" w14:textId="77777777" w:rsidR="00FA2DE2" w:rsidRPr="003C2819" w:rsidRDefault="00FA2DE2" w:rsidP="00AF4646">
            <w:pPr>
              <w:pStyle w:val="BodyText"/>
              <w:jc w:val="left"/>
              <w:rPr>
                <w:b/>
                <w:bCs/>
              </w:rPr>
            </w:pPr>
            <w:r w:rsidRPr="003C2819">
              <w:rPr>
                <w:b/>
                <w:bCs/>
              </w:rPr>
              <w:lastRenderedPageBreak/>
              <w:t>Region</w:t>
            </w:r>
          </w:p>
        </w:tc>
        <w:tc>
          <w:tcPr>
            <w:tcW w:w="2070" w:type="dxa"/>
          </w:tcPr>
          <w:p w14:paraId="2E688969" w14:textId="77777777" w:rsidR="00FA2DE2" w:rsidRPr="003C2819" w:rsidRDefault="00FA2DE2" w:rsidP="00AF4646">
            <w:pPr>
              <w:pStyle w:val="BodyText"/>
              <w:jc w:val="center"/>
              <w:rPr>
                <w:b/>
              </w:rPr>
            </w:pPr>
            <w:r w:rsidRPr="003C2819">
              <w:rPr>
                <w:b/>
                <w:bCs/>
              </w:rPr>
              <w:t xml:space="preserve">Number of </w:t>
            </w:r>
            <w:r>
              <w:rPr>
                <w:b/>
                <w:bCs/>
              </w:rPr>
              <w:t xml:space="preserve">available </w:t>
            </w:r>
            <w:r w:rsidRPr="003C2819">
              <w:rPr>
                <w:b/>
                <w:bCs/>
              </w:rPr>
              <w:t>channels</w:t>
            </w:r>
          </w:p>
        </w:tc>
      </w:tr>
      <w:tr w:rsidR="00FA2DE2" w14:paraId="521C058C" w14:textId="77777777" w:rsidTr="00AF4646">
        <w:trPr>
          <w:jc w:val="center"/>
        </w:trPr>
        <w:tc>
          <w:tcPr>
            <w:tcW w:w="5305" w:type="dxa"/>
          </w:tcPr>
          <w:p w14:paraId="02A9D83D" w14:textId="77777777" w:rsidR="00FA2DE2" w:rsidRPr="003C2819" w:rsidRDefault="00FA2DE2" w:rsidP="00AF4646">
            <w:pPr>
              <w:pStyle w:val="BodyText"/>
            </w:pPr>
            <w:r w:rsidRPr="00CE770E">
              <w:t>China and IMT allocation in Europe</w:t>
            </w:r>
          </w:p>
        </w:tc>
        <w:tc>
          <w:tcPr>
            <w:tcW w:w="2070" w:type="dxa"/>
          </w:tcPr>
          <w:p w14:paraId="48D9443F" w14:textId="77777777" w:rsidR="00FA2DE2" w:rsidRDefault="00FA2DE2" w:rsidP="00AF4646">
            <w:pPr>
              <w:pStyle w:val="BodyText"/>
              <w:jc w:val="center"/>
            </w:pPr>
            <w:r w:rsidRPr="00CE770E">
              <w:t>3/6/12</w:t>
            </w:r>
          </w:p>
        </w:tc>
      </w:tr>
      <w:tr w:rsidR="00FA2DE2" w14:paraId="659A041E" w14:textId="77777777" w:rsidTr="00AF4646">
        <w:trPr>
          <w:jc w:val="center"/>
        </w:trPr>
        <w:tc>
          <w:tcPr>
            <w:tcW w:w="5305" w:type="dxa"/>
          </w:tcPr>
          <w:p w14:paraId="180DA27B" w14:textId="77777777" w:rsidR="00FA2DE2" w:rsidRPr="003C2819" w:rsidRDefault="00FA2DE2" w:rsidP="00AF4646">
            <w:pPr>
              <w:pStyle w:val="BodyText"/>
            </w:pPr>
            <w:r w:rsidRPr="00CE770E">
              <w:t>US and unlicensed allocation in Europ</w:t>
            </w:r>
            <w:r>
              <w:t>e</w:t>
            </w:r>
          </w:p>
        </w:tc>
        <w:tc>
          <w:tcPr>
            <w:tcW w:w="2070" w:type="dxa"/>
          </w:tcPr>
          <w:p w14:paraId="5E1EFB42" w14:textId="77777777" w:rsidR="00FA2DE2" w:rsidRDefault="00FA2DE2" w:rsidP="00AF4646">
            <w:pPr>
              <w:pStyle w:val="BodyText"/>
              <w:jc w:val="center"/>
            </w:pPr>
            <w:r w:rsidRPr="00CE770E">
              <w:t>8/16/32</w:t>
            </w:r>
          </w:p>
        </w:tc>
      </w:tr>
      <w:tr w:rsidR="00FA2DE2" w14:paraId="112A92BF" w14:textId="77777777" w:rsidTr="00AF4646">
        <w:trPr>
          <w:jc w:val="center"/>
        </w:trPr>
        <w:tc>
          <w:tcPr>
            <w:tcW w:w="5305" w:type="dxa"/>
          </w:tcPr>
          <w:p w14:paraId="609CD760" w14:textId="77777777" w:rsidR="00FA2DE2" w:rsidRDefault="00FA2DE2" w:rsidP="00AF4646">
            <w:pPr>
              <w:pStyle w:val="BodyText"/>
            </w:pPr>
            <w:r w:rsidRPr="00CE770E">
              <w:t>Canada, Brazil, Mexico</w:t>
            </w:r>
          </w:p>
        </w:tc>
        <w:tc>
          <w:tcPr>
            <w:tcW w:w="2070" w:type="dxa"/>
          </w:tcPr>
          <w:p w14:paraId="7BFF6DF7" w14:textId="77777777" w:rsidR="00FA2DE2" w:rsidRDefault="00FA2DE2" w:rsidP="00AF4646">
            <w:pPr>
              <w:pStyle w:val="BodyText"/>
              <w:jc w:val="center"/>
            </w:pPr>
            <w:r w:rsidRPr="00CE770E">
              <w:t>4/8/1</w:t>
            </w:r>
            <w:r>
              <w:t>7</w:t>
            </w:r>
          </w:p>
        </w:tc>
      </w:tr>
      <w:tr w:rsidR="00FA2DE2" w14:paraId="3155D295" w14:textId="77777777" w:rsidTr="00AF4646">
        <w:trPr>
          <w:jc w:val="center"/>
        </w:trPr>
        <w:tc>
          <w:tcPr>
            <w:tcW w:w="5305" w:type="dxa"/>
          </w:tcPr>
          <w:p w14:paraId="294C6029" w14:textId="77777777" w:rsidR="00FA2DE2" w:rsidRPr="003C2819" w:rsidRDefault="00FA2DE2" w:rsidP="00AF4646">
            <w:pPr>
              <w:pStyle w:val="BodyText"/>
            </w:pPr>
            <w:r w:rsidRPr="00CE770E">
              <w:t>South Africa, Japan, Korea, Taiwan, Singapore, Australia</w:t>
            </w:r>
          </w:p>
        </w:tc>
        <w:tc>
          <w:tcPr>
            <w:tcW w:w="2070" w:type="dxa"/>
          </w:tcPr>
          <w:p w14:paraId="7211D644" w14:textId="77777777" w:rsidR="00FA2DE2" w:rsidRDefault="00FA2DE2" w:rsidP="00AF4646">
            <w:pPr>
              <w:pStyle w:val="BodyText"/>
              <w:jc w:val="center"/>
            </w:pPr>
            <w:r w:rsidRPr="00CE770E">
              <w:t>5/10/2</w:t>
            </w:r>
            <w:r>
              <w:t>2</w:t>
            </w:r>
          </w:p>
        </w:tc>
      </w:tr>
    </w:tbl>
    <w:p w14:paraId="447C7CEA" w14:textId="77777777" w:rsidR="00FA2DE2" w:rsidRDefault="00FA2DE2" w:rsidP="00FA2DE2">
      <w:pPr>
        <w:pStyle w:val="BodyText"/>
      </w:pPr>
    </w:p>
    <w:p w14:paraId="48502360" w14:textId="6DA186C0" w:rsidR="00FA2DE2" w:rsidRDefault="00FA2DE2" w:rsidP="00FA2DE2">
      <w:pPr>
        <w:pStyle w:val="BodyText"/>
      </w:pPr>
      <w:r>
        <w:t xml:space="preserve">It is of interest to compare this to the IEEE 802.11aj standard (adaptation of 802.11ad for </w:t>
      </w:r>
      <w:proofErr w:type="spellStart"/>
      <w:r>
        <w:t>mmWave</w:t>
      </w:r>
      <w:proofErr w:type="spellEnd"/>
      <w:r>
        <w:t xml:space="preserve"> in China). For .11aj, the goal was to increase the number of channels from only two 2.16 GHz channels to four 1.08 GHz channels; however, those 4 channels are still constrained to be nested within the two 2.16 GHz channels, thus the wastage of 680 MHz of spectrum in China is still present. The proposed NR band plan in </w:t>
      </w:r>
      <w:r w:rsidRPr="00A84D00">
        <w:fldChar w:fldCharType="begin"/>
      </w:r>
      <w:r w:rsidRPr="00D860B5">
        <w:instrText xml:space="preserve"> REF _Ref53062284 \h </w:instrText>
      </w:r>
      <w:r w:rsidRPr="003C2819">
        <w:instrText xml:space="preserve"> \* MERGEFORMAT </w:instrText>
      </w:r>
      <w:r w:rsidRPr="00A84D00">
        <w:fldChar w:fldCharType="separate"/>
      </w:r>
      <w:r w:rsidR="00313D61" w:rsidRPr="003C2819">
        <w:rPr>
          <w:rFonts w:cs="Arial"/>
        </w:rPr>
        <w:t xml:space="preserve">Figure </w:t>
      </w:r>
      <w:r w:rsidR="00313D61">
        <w:rPr>
          <w:rFonts w:cs="Arial"/>
        </w:rPr>
        <w:t>2</w:t>
      </w:r>
      <w:r w:rsidRPr="00A84D00">
        <w:fldChar w:fldCharType="end"/>
      </w:r>
      <w:r>
        <w:t xml:space="preserve"> also increases the number of available channels, but makes almost full use of the available 5 GHz allocation.</w:t>
      </w:r>
    </w:p>
    <w:p w14:paraId="456A00E7" w14:textId="77777777" w:rsidR="00FA2DE2" w:rsidRDefault="00FA2DE2" w:rsidP="00FA2DE2">
      <w:pPr>
        <w:pStyle w:val="BodyText"/>
        <w:keepNext/>
        <w:ind w:left="-720"/>
      </w:pPr>
      <w:r>
        <w:rPr>
          <w:noProof/>
        </w:rPr>
        <w:drawing>
          <wp:inline distT="0" distB="0" distL="0" distR="0" wp14:anchorId="4828CAF7" wp14:editId="5FFF5359">
            <wp:extent cx="6858000" cy="2039112"/>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858000" cy="2039112"/>
                    </a:xfrm>
                    <a:prstGeom prst="rect">
                      <a:avLst/>
                    </a:prstGeom>
                  </pic:spPr>
                </pic:pic>
              </a:graphicData>
            </a:graphic>
          </wp:inline>
        </w:drawing>
      </w:r>
    </w:p>
    <w:p w14:paraId="0EB16E65" w14:textId="6CEFE79F" w:rsidR="00FA2DE2" w:rsidRPr="003C2819" w:rsidRDefault="00FA2DE2" w:rsidP="00FA2DE2">
      <w:pPr>
        <w:pStyle w:val="Caption"/>
        <w:jc w:val="center"/>
        <w:rPr>
          <w:rFonts w:cs="Arial"/>
        </w:rPr>
      </w:pPr>
      <w:bookmarkStart w:id="10" w:name="_Ref53062284"/>
      <w:r w:rsidRPr="003C2819">
        <w:rPr>
          <w:rFonts w:cs="Arial"/>
        </w:rPr>
        <w:t xml:space="preserve">Figure </w:t>
      </w:r>
      <w:r w:rsidRPr="591F3D1E">
        <w:rPr>
          <w:rFonts w:cs="Arial"/>
        </w:rPr>
        <w:fldChar w:fldCharType="begin"/>
      </w:r>
      <w:r w:rsidRPr="591F3D1E">
        <w:rPr>
          <w:rFonts w:cs="Arial"/>
        </w:rPr>
        <w:instrText xml:space="preserve"> SEQ Figure \* ARABIC </w:instrText>
      </w:r>
      <w:r w:rsidRPr="591F3D1E">
        <w:rPr>
          <w:rFonts w:cs="Arial"/>
        </w:rPr>
        <w:fldChar w:fldCharType="separate"/>
      </w:r>
      <w:r w:rsidR="00313D61">
        <w:rPr>
          <w:rFonts w:cs="Arial"/>
          <w:noProof/>
        </w:rPr>
        <w:t>2</w:t>
      </w:r>
      <w:r w:rsidRPr="591F3D1E">
        <w:rPr>
          <w:rFonts w:cs="Arial"/>
        </w:rPr>
        <w:fldChar w:fldCharType="end"/>
      </w:r>
      <w:bookmarkEnd w:id="10"/>
      <w:r w:rsidRPr="003C2819">
        <w:rPr>
          <w:rFonts w:cs="Arial"/>
        </w:rPr>
        <w:t xml:space="preserve">: </w:t>
      </w:r>
      <w:r w:rsidRPr="591F3D1E">
        <w:rPr>
          <w:rFonts w:cs="Arial"/>
        </w:rPr>
        <w:t>Proposed</w:t>
      </w:r>
      <w:r>
        <w:rPr>
          <w:rFonts w:cs="Arial"/>
        </w:rPr>
        <w:t xml:space="preserve"> example </w:t>
      </w:r>
      <w:r w:rsidRPr="003C2819">
        <w:rPr>
          <w:rFonts w:cs="Arial"/>
        </w:rPr>
        <w:t>NR band plan with full utilization regional frequency allocations</w:t>
      </w:r>
    </w:p>
    <w:p w14:paraId="6FF97CFE" w14:textId="4089B06A" w:rsidR="00212D83" w:rsidRDefault="00FA2DE2" w:rsidP="00FA2DE2">
      <w:pPr>
        <w:pStyle w:val="BodyText"/>
      </w:pPr>
      <w:r>
        <w:t>This proposed example NR band plan naturally results in channels that overlap the 2.16 GHz channel boundaries defined by the IEEE 802.11ad standard. However, as</w:t>
      </w:r>
      <w:r w:rsidR="00212D83">
        <w:t xml:space="preserve"> can be seen in </w:t>
      </w:r>
      <w:r w:rsidR="00212D83">
        <w:fldChar w:fldCharType="begin"/>
      </w:r>
      <w:r w:rsidR="00212D83">
        <w:instrText xml:space="preserve"> REF _Ref61878714 \h </w:instrText>
      </w:r>
      <w:r w:rsidR="00212D83">
        <w:fldChar w:fldCharType="separate"/>
      </w:r>
      <w:r w:rsidR="00313D61">
        <w:t>Figure</w:t>
      </w:r>
      <w:r w:rsidR="00313D61" w:rsidRPr="00731273">
        <w:t xml:space="preserve"> </w:t>
      </w:r>
      <w:r w:rsidR="00313D61">
        <w:rPr>
          <w:noProof/>
        </w:rPr>
        <w:t>3</w:t>
      </w:r>
      <w:r w:rsidR="00212D83">
        <w:fldChar w:fldCharType="end"/>
      </w:r>
      <w:r w:rsidR="00212D83">
        <w:t xml:space="preserve"> below</w:t>
      </w:r>
      <w:r>
        <w:t>, the 802.11ad standard itself supports partially overlapping channels for channel bandwidths &gt;2.16 GHz</w:t>
      </w:r>
      <w:r w:rsidR="00212D83">
        <w:t>, e.g., Chanel #10 overlaps both Channel #9 and Channel #11.</w:t>
      </w:r>
    </w:p>
    <w:p w14:paraId="17E27621" w14:textId="77777777" w:rsidR="00212D83" w:rsidRDefault="00212D83" w:rsidP="00212D83">
      <w:pPr>
        <w:pStyle w:val="BodyText"/>
        <w:jc w:val="center"/>
      </w:pPr>
      <w:r>
        <w:rPr>
          <w:noProof/>
        </w:rPr>
        <w:drawing>
          <wp:inline distT="0" distB="0" distL="0" distR="0" wp14:anchorId="0D482302" wp14:editId="273CEF1A">
            <wp:extent cx="3657600" cy="2697480"/>
            <wp:effectExtent l="0" t="0" r="0"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pic:nvPicPr>
                  <pic:blipFill>
                    <a:blip r:embed="rId13">
                      <a:extLst>
                        <a:ext uri="{28A0092B-C50C-407E-A947-70E740481C1C}">
                          <a14:useLocalDpi xmlns:a14="http://schemas.microsoft.com/office/drawing/2010/main" val="0"/>
                        </a:ext>
                      </a:extLst>
                    </a:blip>
                    <a:stretch>
                      <a:fillRect/>
                    </a:stretch>
                  </pic:blipFill>
                  <pic:spPr>
                    <a:xfrm>
                      <a:off x="0" y="0"/>
                      <a:ext cx="3657600" cy="2697480"/>
                    </a:xfrm>
                    <a:prstGeom prst="rect">
                      <a:avLst/>
                    </a:prstGeom>
                  </pic:spPr>
                </pic:pic>
              </a:graphicData>
            </a:graphic>
          </wp:inline>
        </w:drawing>
      </w:r>
    </w:p>
    <w:p w14:paraId="65DA930C" w14:textId="07D96C3A" w:rsidR="00212D83" w:rsidRDefault="00212D83" w:rsidP="00212D83">
      <w:pPr>
        <w:pStyle w:val="TF"/>
        <w:spacing w:before="120"/>
        <w:jc w:val="both"/>
        <w:rPr>
          <w:lang w:val="en-US"/>
        </w:rPr>
      </w:pPr>
      <w:bookmarkStart w:id="11" w:name="_Ref61878714"/>
      <w:r>
        <w:rPr>
          <w:lang w:val="en-US"/>
        </w:rPr>
        <w:lastRenderedPageBreak/>
        <w:t>Figure</w:t>
      </w:r>
      <w:r w:rsidRPr="00731273">
        <w:rPr>
          <w:lang w:val="en-US"/>
        </w:rPr>
        <w:t xml:space="preserve"> </w:t>
      </w:r>
      <w:r w:rsidRPr="00731273">
        <w:rPr>
          <w:lang w:val="en-US"/>
        </w:rPr>
        <w:fldChar w:fldCharType="begin"/>
      </w:r>
      <w:r w:rsidRPr="00731273">
        <w:rPr>
          <w:lang w:val="en-US"/>
        </w:rPr>
        <w:instrText xml:space="preserve"> SEQ Figure \* ARABIC </w:instrText>
      </w:r>
      <w:r w:rsidRPr="00731273">
        <w:rPr>
          <w:lang w:val="en-US"/>
        </w:rPr>
        <w:fldChar w:fldCharType="separate"/>
      </w:r>
      <w:r w:rsidR="00313D61">
        <w:rPr>
          <w:noProof/>
          <w:lang w:val="en-US"/>
        </w:rPr>
        <w:t>3</w:t>
      </w:r>
      <w:r w:rsidRPr="00731273">
        <w:rPr>
          <w:lang w:val="en-US"/>
        </w:rPr>
        <w:fldChar w:fldCharType="end"/>
      </w:r>
      <w:bookmarkEnd w:id="11"/>
      <w:r w:rsidRPr="00731273">
        <w:rPr>
          <w:lang w:val="en-US"/>
        </w:rPr>
        <w:t>:</w:t>
      </w:r>
      <w:r>
        <w:rPr>
          <w:lang w:val="en-US"/>
        </w:rPr>
        <w:t xml:space="preserve"> </w:t>
      </w:r>
      <w:r>
        <w:rPr>
          <w:rFonts w:hint="eastAsia"/>
          <w:bCs/>
        </w:rPr>
        <w:t xml:space="preserve">Channelization used by </w:t>
      </w:r>
      <w:r>
        <w:rPr>
          <w:rFonts w:eastAsia="SimSun" w:hint="eastAsia"/>
          <w:bCs/>
          <w:lang w:val="en-US" w:eastAsia="zh-CN"/>
        </w:rPr>
        <w:t>IEEE 802.11ay</w:t>
      </w:r>
      <w:r>
        <w:rPr>
          <w:lang w:val="en-US"/>
        </w:rPr>
        <w:t>. It can be observed that channels with bandwidths &gt;2.16 GHz overlap with each other.</w:t>
      </w:r>
    </w:p>
    <w:p w14:paraId="2FF219DD" w14:textId="49088E30" w:rsidR="00FA2DE2" w:rsidRDefault="00FA2DE2" w:rsidP="00FA2DE2">
      <w:pPr>
        <w:pStyle w:val="BodyText"/>
      </w:pPr>
      <w:r>
        <w:t xml:space="preserve">In </w:t>
      </w:r>
      <w:r>
        <w:fldChar w:fldCharType="begin"/>
      </w:r>
      <w:r>
        <w:instrText xml:space="preserve"> REF _Ref52864098 \r \h </w:instrText>
      </w:r>
      <w:r>
        <w:fldChar w:fldCharType="separate"/>
      </w:r>
      <w:r w:rsidR="00313D61">
        <w:t>[4]</w:t>
      </w:r>
      <w:r>
        <w:fldChar w:fldCharType="end"/>
      </w:r>
      <w:r w:rsidR="00212D83">
        <w:t xml:space="preserve"> and </w:t>
      </w:r>
      <w:r w:rsidR="00212D83">
        <w:fldChar w:fldCharType="begin"/>
      </w:r>
      <w:r w:rsidR="00212D83">
        <w:instrText xml:space="preserve"> REF _Ref61878936 \r \h </w:instrText>
      </w:r>
      <w:r w:rsidR="00212D83">
        <w:fldChar w:fldCharType="separate"/>
      </w:r>
      <w:r w:rsidR="00313D61">
        <w:t>[5]</w:t>
      </w:r>
      <w:r w:rsidR="00212D83">
        <w:fldChar w:fldCharType="end"/>
      </w:r>
      <w:r>
        <w:t xml:space="preserve">, we provide extensive evaluation results showing there are no coexistence issues even without deploying LBT protocols. Later in this </w:t>
      </w:r>
      <w:r w:rsidR="000F7408">
        <w:t>paper</w:t>
      </w:r>
      <w:r>
        <w:t xml:space="preserve">, we further demonstrate that misaligned channels do not create a coexistence problem either. It is therefore preferable for 3GPP NR to adopt a </w:t>
      </w:r>
      <w:r w:rsidR="000F7408">
        <w:t xml:space="preserve">channelization design from the start that is flexible enough to allow for </w:t>
      </w:r>
      <w:r>
        <w:t xml:space="preserve">full utilization </w:t>
      </w:r>
      <w:r w:rsidR="000F7408">
        <w:t xml:space="preserve">of the available spectrum </w:t>
      </w:r>
      <w:r>
        <w:t xml:space="preserve">rather than sacrificing large portions of spectrum under the unnecessary constraint of </w:t>
      </w:r>
      <w:r w:rsidR="000F7408">
        <w:t xml:space="preserve">rigidly </w:t>
      </w:r>
      <w:r>
        <w:t>aligning 3GPP channelization with that of IEEE 802.11ad</w:t>
      </w:r>
      <w:r w:rsidR="000F7408">
        <w:t>/ay.</w:t>
      </w:r>
    </w:p>
    <w:p w14:paraId="75D6F90A" w14:textId="70892058" w:rsidR="00FA2DE2" w:rsidRPr="00E612C8" w:rsidRDefault="00FA2DE2" w:rsidP="00FA2DE2">
      <w:pPr>
        <w:pStyle w:val="BodyText"/>
      </w:pPr>
      <w:r w:rsidRPr="00E612C8">
        <w:t xml:space="preserve">For the purposes of comparison, </w:t>
      </w:r>
      <w:r w:rsidRPr="00E612C8">
        <w:fldChar w:fldCharType="begin"/>
      </w:r>
      <w:r w:rsidRPr="00E612C8">
        <w:instrText xml:space="preserve"> REF _Ref53063396 \h  \* MERGEFORMAT </w:instrText>
      </w:r>
      <w:r w:rsidRPr="00E612C8">
        <w:fldChar w:fldCharType="separate"/>
      </w:r>
      <w:r w:rsidR="00313D61" w:rsidRPr="00313D61">
        <w:t>Figure 4</w:t>
      </w:r>
      <w:r w:rsidRPr="00E612C8">
        <w:fldChar w:fldCharType="end"/>
      </w:r>
      <w:r w:rsidRPr="00E612C8">
        <w:t xml:space="preserve"> shows a (non-preferred) </w:t>
      </w:r>
      <w:r w:rsidR="000F7408">
        <w:t xml:space="preserve">rigid </w:t>
      </w:r>
      <w:r w:rsidRPr="00E612C8">
        <w:t xml:space="preserve">band plan which is designed to </w:t>
      </w:r>
      <w:r w:rsidR="000F7408">
        <w:t xml:space="preserve">only allow channels that strictly </w:t>
      </w:r>
      <w:r w:rsidRPr="00E612C8">
        <w:t xml:space="preserve">align with the 802.11ad channelization. The channel </w:t>
      </w:r>
      <w:r>
        <w:t xml:space="preserve">bandwidths are left the same as above, but the channels are shifted </w:t>
      </w:r>
      <w:proofErr w:type="gramStart"/>
      <w:r>
        <w:t>so as to</w:t>
      </w:r>
      <w:proofErr w:type="gramEnd"/>
      <w:r>
        <w:t xml:space="preserve"> fit within each of the</w:t>
      </w:r>
      <w:r w:rsidRPr="00E612C8">
        <w:t xml:space="preserve"> 2.16 GHz </w:t>
      </w:r>
      <w:r>
        <w:t xml:space="preserve">802.11ad </w:t>
      </w:r>
      <w:r w:rsidRPr="00E612C8">
        <w:t>channel</w:t>
      </w:r>
      <w:r>
        <w:t>s</w:t>
      </w:r>
      <w:r w:rsidRPr="00E612C8">
        <w:t>.</w:t>
      </w:r>
      <w:r>
        <w:rPr>
          <w:rFonts w:cs="Arial"/>
        </w:rPr>
        <w:t xml:space="preserve"> Such an "aligned" design results in a reduced number of </w:t>
      </w:r>
      <w:r>
        <w:t xml:space="preserve">channels in all of the regions, which is a manifestation of the same spectrum wastage problem indicated in </w:t>
      </w:r>
      <w:r>
        <w:fldChar w:fldCharType="begin"/>
      </w:r>
      <w:r>
        <w:instrText xml:space="preserve"> REF _Ref53057845 \h </w:instrText>
      </w:r>
      <w:r>
        <w:fldChar w:fldCharType="separate"/>
      </w:r>
      <w:r w:rsidR="00313D61" w:rsidRPr="003C2819">
        <w:rPr>
          <w:rFonts w:cs="Arial"/>
        </w:rPr>
        <w:t xml:space="preserve">Figure </w:t>
      </w:r>
      <w:r w:rsidR="00313D61">
        <w:rPr>
          <w:rFonts w:cs="Arial"/>
          <w:noProof/>
        </w:rPr>
        <w:t>1</w:t>
      </w:r>
      <w:r>
        <w:fldChar w:fldCharType="end"/>
      </w:r>
      <w:r>
        <w:t xml:space="preserve">. </w:t>
      </w:r>
      <w:r>
        <w:fldChar w:fldCharType="begin"/>
      </w:r>
      <w:r>
        <w:instrText xml:space="preserve"> REF _Ref53674633 \h </w:instrText>
      </w:r>
      <w:r>
        <w:fldChar w:fldCharType="separate"/>
      </w:r>
      <w:r w:rsidR="00313D61" w:rsidRPr="003C2FCC">
        <w:rPr>
          <w:rFonts w:cs="Arial"/>
        </w:rPr>
        <w:t xml:space="preserve">Table </w:t>
      </w:r>
      <w:r w:rsidR="00313D61">
        <w:rPr>
          <w:rFonts w:cs="Arial"/>
          <w:noProof/>
        </w:rPr>
        <w:t>2</w:t>
      </w:r>
      <w:r>
        <w:fldChar w:fldCharType="end"/>
      </w:r>
      <w:r>
        <w:t xml:space="preserve"> shows the </w:t>
      </w:r>
      <w:r w:rsidRPr="00E612C8">
        <w:t xml:space="preserve">number of nominal 1600/800/400 MHz channels </w:t>
      </w:r>
      <w:r>
        <w:t>that are</w:t>
      </w:r>
      <w:r w:rsidRPr="00E612C8">
        <w:t xml:space="preserve"> lost</w:t>
      </w:r>
      <w:r>
        <w:t xml:space="preserve"> compared to the preferred channelization in </w:t>
      </w:r>
      <w:r w:rsidRPr="00E612C8">
        <w:fldChar w:fldCharType="begin"/>
      </w:r>
      <w:r w:rsidRPr="00E612C8">
        <w:instrText xml:space="preserve"> REF _Ref53062284 \h  \* MERGEFORMAT </w:instrText>
      </w:r>
      <w:r w:rsidRPr="00E612C8">
        <w:fldChar w:fldCharType="separate"/>
      </w:r>
      <w:r w:rsidR="00313D61" w:rsidRPr="00313D61">
        <w:t>Figure 2</w:t>
      </w:r>
      <w:r w:rsidRPr="00E612C8">
        <w:fldChar w:fldCharType="end"/>
      </w:r>
      <w:r>
        <w:t>.</w:t>
      </w:r>
      <w:r w:rsidR="00AF7C45">
        <w:t xml:space="preserve"> This band plan is "non-preferred" in the sense that if it is the only configuration possibility supported for the band, then it suffers the spectrum wastage problem.</w:t>
      </w:r>
    </w:p>
    <w:p w14:paraId="1987A074" w14:textId="1DABDBBD" w:rsidR="00FA2DE2" w:rsidRPr="003C2FCC" w:rsidRDefault="00FA2DE2" w:rsidP="00FA2DE2">
      <w:pPr>
        <w:pStyle w:val="Caption"/>
        <w:jc w:val="center"/>
        <w:rPr>
          <w:rFonts w:cs="Arial"/>
        </w:rPr>
      </w:pPr>
      <w:bookmarkStart w:id="12" w:name="_Ref53674633"/>
      <w:r w:rsidRPr="003C2FCC">
        <w:rPr>
          <w:rFonts w:cs="Arial"/>
        </w:rPr>
        <w:t xml:space="preserve">Table </w:t>
      </w:r>
      <w:r w:rsidRPr="003C2FCC">
        <w:rPr>
          <w:rFonts w:cs="Arial"/>
        </w:rPr>
        <w:fldChar w:fldCharType="begin"/>
      </w:r>
      <w:r w:rsidRPr="003C2FCC">
        <w:rPr>
          <w:rFonts w:cs="Arial"/>
        </w:rPr>
        <w:instrText xml:space="preserve"> SEQ Table \* ARABIC </w:instrText>
      </w:r>
      <w:r w:rsidRPr="003C2FCC">
        <w:rPr>
          <w:rFonts w:cs="Arial"/>
        </w:rPr>
        <w:fldChar w:fldCharType="separate"/>
      </w:r>
      <w:r w:rsidR="00313D61">
        <w:rPr>
          <w:rFonts w:cs="Arial"/>
          <w:noProof/>
        </w:rPr>
        <w:t>2</w:t>
      </w:r>
      <w:r w:rsidRPr="003C2FCC">
        <w:rPr>
          <w:rFonts w:cs="Arial"/>
        </w:rPr>
        <w:fldChar w:fldCharType="end"/>
      </w:r>
      <w:bookmarkEnd w:id="12"/>
      <w:r w:rsidRPr="003C2FCC">
        <w:rPr>
          <w:rFonts w:cs="Arial"/>
        </w:rPr>
        <w:t xml:space="preserve">: </w:t>
      </w:r>
      <w:r>
        <w:rPr>
          <w:rFonts w:cs="Arial"/>
        </w:rPr>
        <w:t>Number</w:t>
      </w:r>
      <w:r w:rsidRPr="003C2FCC">
        <w:rPr>
          <w:rFonts w:cs="Arial"/>
        </w:rPr>
        <w:t xml:space="preserve"> of </w:t>
      </w:r>
      <w:r>
        <w:rPr>
          <w:rFonts w:cs="Arial"/>
        </w:rPr>
        <w:t xml:space="preserve">1600 / 800 / 400 MHz </w:t>
      </w:r>
      <w:r w:rsidRPr="003C2FCC">
        <w:rPr>
          <w:rFonts w:cs="Arial"/>
        </w:rPr>
        <w:t xml:space="preserve">nominal channels </w:t>
      </w:r>
      <w:r>
        <w:rPr>
          <w:rFonts w:cs="Arial"/>
        </w:rPr>
        <w:t xml:space="preserve">lost </w:t>
      </w:r>
      <w:r w:rsidRPr="003C2FCC">
        <w:rPr>
          <w:rFonts w:cs="Arial"/>
        </w:rPr>
        <w:t>per region</w:t>
      </w:r>
      <w:r>
        <w:rPr>
          <w:rFonts w:cs="Arial"/>
        </w:rPr>
        <w:t xml:space="preserve"> using the "aligned" design in </w:t>
      </w:r>
      <w:r>
        <w:rPr>
          <w:rFonts w:cs="Arial"/>
        </w:rPr>
        <w:fldChar w:fldCharType="begin"/>
      </w:r>
      <w:r>
        <w:rPr>
          <w:rFonts w:cs="Arial"/>
        </w:rPr>
        <w:instrText xml:space="preserve"> REF _Ref53063396 \h </w:instrText>
      </w:r>
      <w:r>
        <w:rPr>
          <w:rFonts w:cs="Arial"/>
        </w:rPr>
      </w:r>
      <w:r>
        <w:rPr>
          <w:rFonts w:cs="Arial"/>
        </w:rPr>
        <w:fldChar w:fldCharType="separate"/>
      </w:r>
      <w:r w:rsidR="00313D61" w:rsidRPr="003C2819">
        <w:rPr>
          <w:rFonts w:cs="Arial"/>
        </w:rPr>
        <w:t xml:space="preserve">Figure </w:t>
      </w:r>
      <w:r w:rsidR="00313D61">
        <w:rPr>
          <w:rFonts w:cs="Arial"/>
          <w:noProof/>
        </w:rPr>
        <w:t>4</w:t>
      </w:r>
      <w:r>
        <w:rPr>
          <w:rFonts w:cs="Arial"/>
        </w:rPr>
        <w:fldChar w:fldCharType="end"/>
      </w:r>
      <w:r>
        <w:rPr>
          <w:rFonts w:cs="Arial"/>
        </w:rPr>
        <w:t>.</w:t>
      </w:r>
    </w:p>
    <w:tbl>
      <w:tblPr>
        <w:tblStyle w:val="TableGrid"/>
        <w:tblW w:w="0" w:type="auto"/>
        <w:jc w:val="center"/>
        <w:tblLook w:val="04A0" w:firstRow="1" w:lastRow="0" w:firstColumn="1" w:lastColumn="0" w:noHBand="0" w:noVBand="1"/>
      </w:tblPr>
      <w:tblGrid>
        <w:gridCol w:w="5395"/>
        <w:gridCol w:w="1980"/>
      </w:tblGrid>
      <w:tr w:rsidR="00FA2DE2" w14:paraId="2A61311D" w14:textId="77777777" w:rsidTr="00AF4646">
        <w:trPr>
          <w:jc w:val="center"/>
        </w:trPr>
        <w:tc>
          <w:tcPr>
            <w:tcW w:w="5395" w:type="dxa"/>
          </w:tcPr>
          <w:p w14:paraId="032346A1" w14:textId="77777777" w:rsidR="00FA2DE2" w:rsidRPr="003C2819" w:rsidRDefault="00FA2DE2" w:rsidP="00AF4646">
            <w:pPr>
              <w:pStyle w:val="BodyText"/>
              <w:jc w:val="left"/>
              <w:rPr>
                <w:b/>
                <w:bCs/>
              </w:rPr>
            </w:pPr>
            <w:r w:rsidRPr="003C2819">
              <w:rPr>
                <w:b/>
                <w:bCs/>
              </w:rPr>
              <w:t>Region</w:t>
            </w:r>
          </w:p>
        </w:tc>
        <w:tc>
          <w:tcPr>
            <w:tcW w:w="1980" w:type="dxa"/>
          </w:tcPr>
          <w:p w14:paraId="7B5942B6" w14:textId="77777777" w:rsidR="00FA2DE2" w:rsidRPr="003C2819" w:rsidRDefault="00FA2DE2" w:rsidP="00AF4646">
            <w:pPr>
              <w:pStyle w:val="BodyText"/>
              <w:jc w:val="center"/>
              <w:rPr>
                <w:b/>
              </w:rPr>
            </w:pPr>
            <w:r w:rsidRPr="003C2819">
              <w:rPr>
                <w:b/>
                <w:bCs/>
              </w:rPr>
              <w:t>Number of</w:t>
            </w:r>
            <w:r>
              <w:rPr>
                <w:b/>
                <w:bCs/>
              </w:rPr>
              <w:t xml:space="preserve"> lost</w:t>
            </w:r>
            <w:r w:rsidRPr="003C2819">
              <w:rPr>
                <w:b/>
                <w:bCs/>
              </w:rPr>
              <w:t xml:space="preserve"> channels</w:t>
            </w:r>
          </w:p>
        </w:tc>
      </w:tr>
      <w:tr w:rsidR="00FA2DE2" w14:paraId="0F1D5A84" w14:textId="77777777" w:rsidTr="00AF4646">
        <w:trPr>
          <w:jc w:val="center"/>
        </w:trPr>
        <w:tc>
          <w:tcPr>
            <w:tcW w:w="5395" w:type="dxa"/>
          </w:tcPr>
          <w:p w14:paraId="6DA5ECCA" w14:textId="77777777" w:rsidR="00FA2DE2" w:rsidRPr="003C2819" w:rsidRDefault="00FA2DE2" w:rsidP="00AF4646">
            <w:pPr>
              <w:pStyle w:val="BodyText"/>
            </w:pPr>
            <w:r w:rsidRPr="00CE770E">
              <w:t>China and IMT allocation in Europe</w:t>
            </w:r>
          </w:p>
        </w:tc>
        <w:tc>
          <w:tcPr>
            <w:tcW w:w="1980" w:type="dxa"/>
          </w:tcPr>
          <w:p w14:paraId="1179F79F" w14:textId="77777777" w:rsidR="00FA2DE2" w:rsidRDefault="00FA2DE2" w:rsidP="00AF4646">
            <w:pPr>
              <w:pStyle w:val="BodyText"/>
              <w:jc w:val="center"/>
            </w:pPr>
            <w:r>
              <w:t>1/2/2</w:t>
            </w:r>
          </w:p>
        </w:tc>
      </w:tr>
      <w:tr w:rsidR="00FA2DE2" w14:paraId="1E5BB091" w14:textId="77777777" w:rsidTr="00AF4646">
        <w:trPr>
          <w:jc w:val="center"/>
        </w:trPr>
        <w:tc>
          <w:tcPr>
            <w:tcW w:w="5395" w:type="dxa"/>
          </w:tcPr>
          <w:p w14:paraId="742645ED" w14:textId="77777777" w:rsidR="00FA2DE2" w:rsidRPr="003C2819" w:rsidRDefault="00FA2DE2" w:rsidP="00AF4646">
            <w:pPr>
              <w:pStyle w:val="BodyText"/>
            </w:pPr>
            <w:r w:rsidRPr="00CE770E">
              <w:t>US and unlicensed allocation in Europ</w:t>
            </w:r>
            <w:r>
              <w:t>e</w:t>
            </w:r>
          </w:p>
        </w:tc>
        <w:tc>
          <w:tcPr>
            <w:tcW w:w="1980" w:type="dxa"/>
          </w:tcPr>
          <w:p w14:paraId="7B559C57" w14:textId="77777777" w:rsidR="00FA2DE2" w:rsidRDefault="00FA2DE2" w:rsidP="00AF4646">
            <w:pPr>
              <w:pStyle w:val="BodyText"/>
              <w:jc w:val="center"/>
            </w:pPr>
            <w:r>
              <w:t>2/4/2</w:t>
            </w:r>
          </w:p>
        </w:tc>
      </w:tr>
      <w:tr w:rsidR="00FA2DE2" w14:paraId="2906FC58" w14:textId="77777777" w:rsidTr="00AF4646">
        <w:trPr>
          <w:jc w:val="center"/>
        </w:trPr>
        <w:tc>
          <w:tcPr>
            <w:tcW w:w="5395" w:type="dxa"/>
          </w:tcPr>
          <w:p w14:paraId="3E916100" w14:textId="77777777" w:rsidR="00FA2DE2" w:rsidRDefault="00FA2DE2" w:rsidP="00AF4646">
            <w:pPr>
              <w:pStyle w:val="BodyText"/>
            </w:pPr>
            <w:r w:rsidRPr="00CE770E">
              <w:t>Canada, Brazil, Mexico</w:t>
            </w:r>
          </w:p>
        </w:tc>
        <w:tc>
          <w:tcPr>
            <w:tcW w:w="1980" w:type="dxa"/>
          </w:tcPr>
          <w:p w14:paraId="6A430AEC" w14:textId="77777777" w:rsidR="00FA2DE2" w:rsidRDefault="00FA2DE2" w:rsidP="00AF4646">
            <w:pPr>
              <w:pStyle w:val="BodyText"/>
              <w:jc w:val="center"/>
            </w:pPr>
            <w:r>
              <w:t>1/2/2</w:t>
            </w:r>
          </w:p>
        </w:tc>
      </w:tr>
      <w:tr w:rsidR="00FA2DE2" w14:paraId="2FC4B18E" w14:textId="77777777" w:rsidTr="00AF4646">
        <w:trPr>
          <w:jc w:val="center"/>
        </w:trPr>
        <w:tc>
          <w:tcPr>
            <w:tcW w:w="5395" w:type="dxa"/>
          </w:tcPr>
          <w:p w14:paraId="0C0B7212" w14:textId="77777777" w:rsidR="00FA2DE2" w:rsidRPr="003C2819" w:rsidRDefault="00FA2DE2" w:rsidP="00AF4646">
            <w:pPr>
              <w:pStyle w:val="BodyText"/>
            </w:pPr>
            <w:r w:rsidRPr="00CE770E">
              <w:t>South Africa, Japan, Korea, Taiwan, Singapore, Australia</w:t>
            </w:r>
          </w:p>
        </w:tc>
        <w:tc>
          <w:tcPr>
            <w:tcW w:w="1980" w:type="dxa"/>
          </w:tcPr>
          <w:p w14:paraId="2E23D590" w14:textId="77777777" w:rsidR="00FA2DE2" w:rsidRDefault="00FA2DE2" w:rsidP="00AF4646">
            <w:pPr>
              <w:pStyle w:val="BodyText"/>
              <w:jc w:val="center"/>
            </w:pPr>
            <w:r>
              <w:t>1/2/2</w:t>
            </w:r>
          </w:p>
        </w:tc>
      </w:tr>
    </w:tbl>
    <w:p w14:paraId="27DC6FED" w14:textId="77777777" w:rsidR="00FA2DE2" w:rsidRPr="00C777FC" w:rsidRDefault="00FA2DE2" w:rsidP="00FA2DE2">
      <w:pPr>
        <w:pStyle w:val="BodyText"/>
      </w:pPr>
    </w:p>
    <w:p w14:paraId="4EBE9AAF" w14:textId="77777777" w:rsidR="00FA2DE2" w:rsidRDefault="00FA2DE2" w:rsidP="00FA2DE2">
      <w:pPr>
        <w:keepNext/>
        <w:ind w:left="-720"/>
        <w:jc w:val="center"/>
      </w:pPr>
      <w:r w:rsidRPr="0003711D">
        <w:rPr>
          <w:noProof/>
        </w:rPr>
        <w:drawing>
          <wp:inline distT="0" distB="0" distL="0" distR="0" wp14:anchorId="612D7391" wp14:editId="27B773A5">
            <wp:extent cx="6858000" cy="2084832"/>
            <wp:effectExtent l="0" t="0" r="0" b="0"/>
            <wp:docPr id="1614471049" name="Picture 161447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58000" cy="2084832"/>
                    </a:xfrm>
                    <a:prstGeom prst="rect">
                      <a:avLst/>
                    </a:prstGeom>
                    <a:noFill/>
                    <a:ln>
                      <a:noFill/>
                    </a:ln>
                  </pic:spPr>
                </pic:pic>
              </a:graphicData>
            </a:graphic>
          </wp:inline>
        </w:drawing>
      </w:r>
    </w:p>
    <w:p w14:paraId="0140FF46" w14:textId="6D1EE960" w:rsidR="00FA2DE2" w:rsidRPr="003C2819" w:rsidRDefault="00FA2DE2" w:rsidP="00FA2DE2">
      <w:pPr>
        <w:pStyle w:val="Caption"/>
        <w:jc w:val="center"/>
        <w:rPr>
          <w:rFonts w:cs="Arial"/>
        </w:rPr>
      </w:pPr>
      <w:bookmarkStart w:id="13" w:name="_Ref53063396"/>
      <w:r w:rsidRPr="003C2819">
        <w:rPr>
          <w:rFonts w:cs="Arial"/>
        </w:rPr>
        <w:t xml:space="preserve">Figure </w:t>
      </w:r>
      <w:r>
        <w:rPr>
          <w:rFonts w:cs="Arial"/>
        </w:rPr>
        <w:fldChar w:fldCharType="begin"/>
      </w:r>
      <w:r w:rsidRPr="00E216C4">
        <w:rPr>
          <w:rFonts w:cs="Arial"/>
        </w:rPr>
        <w:instrText xml:space="preserve"> SEQ Figure \* ARABIC </w:instrText>
      </w:r>
      <w:r>
        <w:rPr>
          <w:rFonts w:cs="Arial"/>
        </w:rPr>
        <w:fldChar w:fldCharType="separate"/>
      </w:r>
      <w:r w:rsidR="00313D61">
        <w:rPr>
          <w:rFonts w:cs="Arial"/>
          <w:noProof/>
        </w:rPr>
        <w:t>4</w:t>
      </w:r>
      <w:r>
        <w:rPr>
          <w:rFonts w:cs="Arial"/>
        </w:rPr>
        <w:fldChar w:fldCharType="end"/>
      </w:r>
      <w:bookmarkEnd w:id="13"/>
      <w:r w:rsidRPr="003C2819">
        <w:rPr>
          <w:rFonts w:cs="Arial"/>
        </w:rPr>
        <w:t>: Non-preferred band plan aligned with IEEE 802.11ad channelization</w:t>
      </w:r>
    </w:p>
    <w:p w14:paraId="08AA9CA1" w14:textId="77777777" w:rsidR="00372FD3" w:rsidRDefault="00372FD3" w:rsidP="00FA2DE2">
      <w:pPr>
        <w:pStyle w:val="BodyText"/>
      </w:pPr>
    </w:p>
    <w:p w14:paraId="173E4A4F" w14:textId="2BD85BA3" w:rsidR="00372FD3" w:rsidRDefault="00372FD3" w:rsidP="00372FD3">
      <w:pPr>
        <w:pStyle w:val="Heading2"/>
      </w:pPr>
      <w:r>
        <w:t>2.1</w:t>
      </w:r>
      <w:r>
        <w:tab/>
        <w:t>Impact of overlapping channels</w:t>
      </w:r>
    </w:p>
    <w:p w14:paraId="1C692412" w14:textId="4F6174A3" w:rsidR="00FA2DE2" w:rsidRDefault="00FA2DE2" w:rsidP="00FA2DE2">
      <w:pPr>
        <w:pStyle w:val="BodyText"/>
      </w:pPr>
      <w:r>
        <w:t xml:space="preserve">Here we investigate the potential impact of misaligned channels. For regions with smaller frequency allocations (small number of available channels), it may not be possible to avoid co-channel coexistence amongst networks, e.g., the 5 GHz allocation in China where there are a limited number of available channels. In the preferred band plan in </w:t>
      </w:r>
      <w:r w:rsidRPr="00A84D00">
        <w:fldChar w:fldCharType="begin"/>
      </w:r>
      <w:r w:rsidRPr="00486EDC">
        <w:instrText xml:space="preserve"> REF _Ref53062284 \h </w:instrText>
      </w:r>
      <w:r w:rsidRPr="003C2819">
        <w:instrText xml:space="preserve"> \* MERGEFORMAT </w:instrText>
      </w:r>
      <w:r w:rsidRPr="00A84D00">
        <w:fldChar w:fldCharType="separate"/>
      </w:r>
      <w:r w:rsidR="00313D61" w:rsidRPr="003C2819">
        <w:rPr>
          <w:rFonts w:cs="Arial"/>
        </w:rPr>
        <w:t xml:space="preserve">Figure </w:t>
      </w:r>
      <w:r w:rsidR="00313D61">
        <w:rPr>
          <w:rFonts w:cs="Arial"/>
        </w:rPr>
        <w:t>2</w:t>
      </w:r>
      <w:r w:rsidRPr="00A84D00">
        <w:fldChar w:fldCharType="end"/>
      </w:r>
      <w:r>
        <w:t xml:space="preserve">, three nominal 1.6 GHz channels are available in China. To assess if there are </w:t>
      </w:r>
      <w:r>
        <w:lastRenderedPageBreak/>
        <w:t>any performance impacts to adopting a band plan such as the preferred band plan which maximizes spectrum utilization, we evaluate a worst-case coexistence scenario. We consider two operators deploying in the same office (Indoor Scenario B) in which Operator #1 uses two 2 GHz channels and Operator #2 uses three 1.6 GHz channels – naturally the channels are misaligned between the two operators</w:t>
      </w:r>
      <w:r w:rsidRPr="00497E6D">
        <w:t xml:space="preserve"> </w:t>
      </w:r>
      <w:r>
        <w:t>This is compared to a scenario where both operators use two 2 GHz channels where the channels are aligned.</w:t>
      </w:r>
    </w:p>
    <w:p w14:paraId="08998183" w14:textId="77777777" w:rsidR="00FA2DE2" w:rsidRDefault="00FA2DE2" w:rsidP="00FA2DE2">
      <w:pPr>
        <w:pStyle w:val="BodyText"/>
      </w:pPr>
    </w:p>
    <w:p w14:paraId="040A3032" w14:textId="77777777" w:rsidR="00FA2DE2" w:rsidRDefault="00FA2DE2" w:rsidP="00FA2DE2">
      <w:pPr>
        <w:pStyle w:val="BodyText"/>
        <w:keepNext/>
        <w:tabs>
          <w:tab w:val="center" w:pos="2160"/>
          <w:tab w:val="center" w:pos="6840"/>
        </w:tabs>
        <w:spacing w:after="0"/>
        <w:ind w:firstLine="720"/>
        <w:jc w:val="left"/>
      </w:pPr>
      <w:r>
        <w:rPr>
          <w:noProof/>
        </w:rPr>
        <w:drawing>
          <wp:inline distT="0" distB="0" distL="0" distR="0" wp14:anchorId="43DC3EFB" wp14:editId="73690C4E">
            <wp:extent cx="2304050" cy="485049"/>
            <wp:effectExtent l="0" t="0" r="1270" b="0"/>
            <wp:docPr id="1239340945" name="Picture 1239340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47529" cy="494202"/>
                    </a:xfrm>
                    <a:prstGeom prst="rect">
                      <a:avLst/>
                    </a:prstGeom>
                    <a:noFill/>
                  </pic:spPr>
                </pic:pic>
              </a:graphicData>
            </a:graphic>
          </wp:inline>
        </w:drawing>
      </w:r>
      <w:r>
        <w:tab/>
      </w:r>
      <w:r>
        <w:rPr>
          <w:noProof/>
        </w:rPr>
        <w:drawing>
          <wp:inline distT="0" distB="0" distL="0" distR="0" wp14:anchorId="200A0679" wp14:editId="3BA7066E">
            <wp:extent cx="2511150" cy="461175"/>
            <wp:effectExtent l="0" t="0" r="3810" b="0"/>
            <wp:docPr id="1239340953" name="Picture 1239340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4698" cy="504066"/>
                    </a:xfrm>
                    <a:prstGeom prst="rect">
                      <a:avLst/>
                    </a:prstGeom>
                    <a:noFill/>
                  </pic:spPr>
                </pic:pic>
              </a:graphicData>
            </a:graphic>
          </wp:inline>
        </w:drawing>
      </w:r>
    </w:p>
    <w:p w14:paraId="15E7AB15" w14:textId="77777777" w:rsidR="00FA2DE2" w:rsidRDefault="00FA2DE2" w:rsidP="00FA2DE2">
      <w:pPr>
        <w:pStyle w:val="BodyText"/>
        <w:keepNext/>
        <w:numPr>
          <w:ilvl w:val="0"/>
          <w:numId w:val="36"/>
        </w:numPr>
        <w:tabs>
          <w:tab w:val="center" w:pos="2160"/>
          <w:tab w:val="center" w:pos="6840"/>
        </w:tabs>
        <w:overflowPunct w:val="0"/>
        <w:autoSpaceDE w:val="0"/>
        <w:autoSpaceDN w:val="0"/>
        <w:adjustRightInd w:val="0"/>
        <w:spacing w:after="0" w:line="240" w:lineRule="auto"/>
        <w:jc w:val="left"/>
        <w:textAlignment w:val="baseline"/>
      </w:pPr>
      <w:r>
        <w:t>(b)</w:t>
      </w:r>
    </w:p>
    <w:p w14:paraId="739B11F4" w14:textId="77777777" w:rsidR="00FA2DE2" w:rsidRDefault="00FA2DE2" w:rsidP="00FA2DE2">
      <w:pPr>
        <w:pStyle w:val="BodyText"/>
        <w:keepNext/>
        <w:tabs>
          <w:tab w:val="center" w:pos="2160"/>
          <w:tab w:val="center" w:pos="6840"/>
        </w:tabs>
        <w:spacing w:after="0"/>
        <w:jc w:val="left"/>
      </w:pPr>
    </w:p>
    <w:p w14:paraId="1F0CA8DE" w14:textId="77777777" w:rsidR="00FA2DE2" w:rsidRDefault="00FA2DE2" w:rsidP="00FA2DE2">
      <w:pPr>
        <w:pStyle w:val="BodyText"/>
        <w:keepNext/>
        <w:tabs>
          <w:tab w:val="center" w:pos="2160"/>
          <w:tab w:val="center" w:pos="6840"/>
        </w:tabs>
        <w:spacing w:after="0"/>
        <w:jc w:val="center"/>
      </w:pPr>
      <w:r>
        <w:rPr>
          <w:noProof/>
        </w:rPr>
        <w:drawing>
          <wp:inline distT="0" distB="0" distL="0" distR="0" wp14:anchorId="11AE85D4" wp14:editId="6F50BDA6">
            <wp:extent cx="1423670" cy="144907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pic:nvPicPr>
                  <pic:blipFill>
                    <a:blip r:embed="rId17">
                      <a:extLst>
                        <a:ext uri="{28A0092B-C50C-407E-A947-70E740481C1C}">
                          <a14:useLocalDpi xmlns:a14="http://schemas.microsoft.com/office/drawing/2010/main" val="0"/>
                        </a:ext>
                      </a:extLst>
                    </a:blip>
                    <a:stretch>
                      <a:fillRect/>
                    </a:stretch>
                  </pic:blipFill>
                  <pic:spPr>
                    <a:xfrm>
                      <a:off x="0" y="0"/>
                      <a:ext cx="1423670" cy="1449070"/>
                    </a:xfrm>
                    <a:prstGeom prst="rect">
                      <a:avLst/>
                    </a:prstGeom>
                  </pic:spPr>
                </pic:pic>
              </a:graphicData>
            </a:graphic>
          </wp:inline>
        </w:drawing>
      </w:r>
    </w:p>
    <w:p w14:paraId="43B6FD6D" w14:textId="127147C8" w:rsidR="00FA2DE2" w:rsidRPr="00E612C8" w:rsidRDefault="00FA2DE2" w:rsidP="00FA2DE2">
      <w:pPr>
        <w:pStyle w:val="Caption"/>
        <w:jc w:val="both"/>
        <w:rPr>
          <w:rFonts w:cs="Arial"/>
        </w:rPr>
      </w:pPr>
      <w:r w:rsidRPr="003C2819">
        <w:rPr>
          <w:rFonts w:cs="Arial"/>
        </w:rPr>
        <w:t xml:space="preserve">Figure </w:t>
      </w:r>
      <w:r>
        <w:rPr>
          <w:rFonts w:cs="Arial"/>
        </w:rPr>
        <w:fldChar w:fldCharType="begin"/>
      </w:r>
      <w:r w:rsidRPr="00E216C4">
        <w:rPr>
          <w:rFonts w:cs="Arial"/>
        </w:rPr>
        <w:instrText xml:space="preserve"> SEQ Figure \* ARABIC </w:instrText>
      </w:r>
      <w:r>
        <w:rPr>
          <w:rFonts w:cs="Arial"/>
        </w:rPr>
        <w:fldChar w:fldCharType="separate"/>
      </w:r>
      <w:r w:rsidR="00313D61">
        <w:rPr>
          <w:rFonts w:cs="Arial"/>
          <w:noProof/>
        </w:rPr>
        <w:t>5</w:t>
      </w:r>
      <w:r>
        <w:rPr>
          <w:rFonts w:cs="Arial"/>
        </w:rPr>
        <w:fldChar w:fldCharType="end"/>
      </w:r>
      <w:r w:rsidRPr="003C2819">
        <w:rPr>
          <w:rFonts w:cs="Arial"/>
        </w:rPr>
        <w:t>: Coexistence scenario between two operators (a) both operators use aligned 2 GHz channels, and (b) Operator #2 uses three 1.6 GHz channels misaligned with the two 2 GHz channels used by Operator #1. In both cases (a) and (b), Operator #1 deploys its AP(s) at the red location in the office box, and Operator #2 deploys at the blue location.</w:t>
      </w:r>
    </w:p>
    <w:p w14:paraId="519461EF" w14:textId="77777777" w:rsidR="00FA2DE2" w:rsidRDefault="00FA2DE2" w:rsidP="00FA2DE2">
      <w:pPr>
        <w:pStyle w:val="BodyText"/>
      </w:pPr>
      <w:r>
        <w:t xml:space="preserve">In both cases, 12 UEs are associated with each operator and the UEs are divided equally amongst the used channels (either 2 or 3 depending on the scenario). </w:t>
      </w:r>
      <w:bookmarkStart w:id="14" w:name="_Hlk53128210"/>
      <w:r>
        <w:t>In both scenarios, the traffic arrival rate per UE is the same, thus the offered traffic per operator is the same in both cases, regardless of the number of channels. The offered traffic is chosen so that Op#1 in the aligned case has 10%, 35% and 55% buffer occupancy.</w:t>
      </w:r>
      <w:bookmarkEnd w:id="14"/>
      <w:r>
        <w:t xml:space="preserve"> Both operators operate without LBT. In the UL, the transmit power per UE is the same in both scenarios. In the DL, the transmit power per channel is the same for each operator, thus the total transmit power scales with the number of channels (2 or 3). We emphasize that this is a worst-case scenario, as typically an operator with a multi-channel AP would need to divide a total power budget across the number of used channels resulting in a lower per-channel power for the operator with 3 channels compared to 2.</w:t>
      </w:r>
    </w:p>
    <w:p w14:paraId="447DF4ED" w14:textId="339FC041" w:rsidR="00FA2DE2" w:rsidRDefault="00FA2DE2" w:rsidP="00FA2DE2">
      <w:pPr>
        <w:pStyle w:val="BodyText"/>
      </w:pPr>
      <w:r w:rsidRPr="00A84D00">
        <w:fldChar w:fldCharType="begin"/>
      </w:r>
      <w:r w:rsidRPr="00486EDC">
        <w:instrText xml:space="preserve"> REF _Ref53066896 \h </w:instrText>
      </w:r>
      <w:r w:rsidRPr="003C2819">
        <w:instrText xml:space="preserve"> \* MERGEFORMAT </w:instrText>
      </w:r>
      <w:r w:rsidRPr="00A84D00">
        <w:fldChar w:fldCharType="separate"/>
      </w:r>
      <w:r w:rsidR="00313D61" w:rsidRPr="003C2819">
        <w:rPr>
          <w:rFonts w:cs="Arial"/>
        </w:rPr>
        <w:t xml:space="preserve">Figure </w:t>
      </w:r>
      <w:r w:rsidR="00313D61">
        <w:rPr>
          <w:rFonts w:cs="Arial"/>
        </w:rPr>
        <w:t>6</w:t>
      </w:r>
      <w:r w:rsidRPr="00A84D00">
        <w:fldChar w:fldCharType="end"/>
      </w:r>
      <w:r>
        <w:t xml:space="preserve"> compares the performance between the aligned case (red/blue bars) and the misaligned case (yellow/cyan bars). Comparing the red/blue/yellow bars, one can see that Operator #1 is equally affected by Operator #2 regardless of whether Operator #2 uses two 2 GHz or three 1.6 GHz channels. Hence, there is no coexistence issue due to misaligned channels.</w:t>
      </w:r>
    </w:p>
    <w:p w14:paraId="2F29FF8A" w14:textId="0BF4204D" w:rsidR="00FA2DE2" w:rsidRDefault="00FA2DE2" w:rsidP="00FA2DE2">
      <w:pPr>
        <w:pStyle w:val="BodyText"/>
      </w:pPr>
      <w:r>
        <w:t xml:space="preserve">The cyan bar indicates lower throughput for Operator #2 at low load in the misaligned channel case. This is expected since each user has access to only 1.6 GHz instead of 2 GHz, and thus the peak rate is lower. However, this is compensated by lower buffer occupancy as shown in </w:t>
      </w:r>
      <w:r>
        <w:fldChar w:fldCharType="begin"/>
      </w:r>
      <w:r>
        <w:instrText xml:space="preserve"> REF _Ref53135284 \h </w:instrText>
      </w:r>
      <w:r>
        <w:fldChar w:fldCharType="separate"/>
      </w:r>
      <w:r w:rsidR="00313D61" w:rsidRPr="003C2819">
        <w:rPr>
          <w:rFonts w:cs="Arial"/>
        </w:rPr>
        <w:t xml:space="preserve">Figure </w:t>
      </w:r>
      <w:r w:rsidR="00313D61">
        <w:rPr>
          <w:rFonts w:cs="Arial"/>
          <w:noProof/>
        </w:rPr>
        <w:t>7</w:t>
      </w:r>
      <w:r>
        <w:fldChar w:fldCharType="end"/>
      </w:r>
      <w:r>
        <w:t xml:space="preserve"> for Operator 2's network due to the ability to access 4.8 GHz of spectrum</w:t>
      </w:r>
      <w:r w:rsidRPr="00DA36F4">
        <w:t xml:space="preserve"> </w:t>
      </w:r>
      <w:r>
        <w:t>instead of 4 GHz. This results in larger served traffic (system throughput) for Operator 2's network.</w:t>
      </w:r>
    </w:p>
    <w:p w14:paraId="793D29FF" w14:textId="77777777" w:rsidR="00FA2DE2" w:rsidRDefault="00FA2DE2" w:rsidP="00FA2DE2">
      <w:pPr>
        <w:pStyle w:val="BodyText"/>
      </w:pPr>
    </w:p>
    <w:p w14:paraId="3A8105D0" w14:textId="77777777" w:rsidR="00FA2DE2" w:rsidRDefault="00FA2DE2" w:rsidP="00FA2DE2">
      <w:pPr>
        <w:pStyle w:val="BodyText"/>
        <w:keepNext/>
        <w:tabs>
          <w:tab w:val="center" w:pos="2160"/>
          <w:tab w:val="center" w:pos="6840"/>
        </w:tabs>
        <w:spacing w:after="0"/>
        <w:jc w:val="left"/>
        <w:rPr>
          <w:noProof/>
        </w:rPr>
      </w:pPr>
      <w:r>
        <w:rPr>
          <w:noProof/>
        </w:rPr>
        <w:lastRenderedPageBreak/>
        <w:tab/>
      </w:r>
      <w:r>
        <w:rPr>
          <w:noProof/>
        </w:rPr>
        <w:drawing>
          <wp:inline distT="0" distB="0" distL="0" distR="0" wp14:anchorId="07888CE2" wp14:editId="1C916C15">
            <wp:extent cx="2971073" cy="1938528"/>
            <wp:effectExtent l="0" t="0" r="0" b="508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8">
                      <a:extLst>
                        <a:ext uri="{28A0092B-C50C-407E-A947-70E740481C1C}">
                          <a14:useLocalDpi xmlns:a14="http://schemas.microsoft.com/office/drawing/2010/main" val="0"/>
                        </a:ext>
                      </a:extLst>
                    </a:blip>
                    <a:srcRect b="6585"/>
                    <a:stretch>
                      <a:fillRect/>
                    </a:stretch>
                  </pic:blipFill>
                  <pic:spPr>
                    <a:xfrm>
                      <a:off x="0" y="0"/>
                      <a:ext cx="2971073" cy="1938528"/>
                    </a:xfrm>
                    <a:prstGeom prst="rect">
                      <a:avLst/>
                    </a:prstGeom>
                  </pic:spPr>
                </pic:pic>
              </a:graphicData>
            </a:graphic>
          </wp:inline>
        </w:drawing>
      </w:r>
      <w:r>
        <w:rPr>
          <w:noProof/>
        </w:rPr>
        <w:drawing>
          <wp:inline distT="0" distB="0" distL="0" distR="0" wp14:anchorId="11EC1B07" wp14:editId="29D59444">
            <wp:extent cx="2971619" cy="1945843"/>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19">
                      <a:extLst>
                        <a:ext uri="{28A0092B-C50C-407E-A947-70E740481C1C}">
                          <a14:useLocalDpi xmlns:a14="http://schemas.microsoft.com/office/drawing/2010/main" val="0"/>
                        </a:ext>
                      </a:extLst>
                    </a:blip>
                    <a:srcRect b="6661"/>
                    <a:stretch>
                      <a:fillRect/>
                    </a:stretch>
                  </pic:blipFill>
                  <pic:spPr>
                    <a:xfrm>
                      <a:off x="0" y="0"/>
                      <a:ext cx="2971619" cy="1945843"/>
                    </a:xfrm>
                    <a:prstGeom prst="rect">
                      <a:avLst/>
                    </a:prstGeom>
                  </pic:spPr>
                </pic:pic>
              </a:graphicData>
            </a:graphic>
          </wp:inline>
        </w:drawing>
      </w:r>
    </w:p>
    <w:p w14:paraId="02C8BEE1" w14:textId="77777777" w:rsidR="00FA2DE2" w:rsidRDefault="00FA2DE2" w:rsidP="00FA2DE2">
      <w:pPr>
        <w:pStyle w:val="BodyText"/>
        <w:keepNext/>
        <w:tabs>
          <w:tab w:val="center" w:pos="2160"/>
          <w:tab w:val="center" w:pos="6840"/>
        </w:tabs>
        <w:spacing w:after="0"/>
        <w:jc w:val="left"/>
        <w:rPr>
          <w:noProof/>
        </w:rPr>
      </w:pPr>
      <w:r w:rsidRPr="00C777FC">
        <w:rPr>
          <w:noProof/>
        </w:rPr>
        <w:tab/>
        <w:t>(</w:t>
      </w:r>
      <w:r>
        <w:rPr>
          <w:noProof/>
        </w:rPr>
        <w:t>a)</w:t>
      </w:r>
      <w:r>
        <w:rPr>
          <w:noProof/>
        </w:rPr>
        <w:tab/>
        <w:t>(b)</w:t>
      </w:r>
    </w:p>
    <w:p w14:paraId="6A4F67B2" w14:textId="313B378F" w:rsidR="00FA2DE2" w:rsidRPr="003C2819" w:rsidRDefault="00FA2DE2" w:rsidP="00FA2DE2">
      <w:pPr>
        <w:pStyle w:val="Caption"/>
        <w:jc w:val="center"/>
        <w:rPr>
          <w:rFonts w:cs="Arial"/>
        </w:rPr>
      </w:pPr>
      <w:bookmarkStart w:id="15" w:name="_Ref53066896"/>
      <w:r w:rsidRPr="003C2819">
        <w:rPr>
          <w:rFonts w:cs="Arial"/>
        </w:rPr>
        <w:t xml:space="preserve">Figure </w:t>
      </w:r>
      <w:r>
        <w:rPr>
          <w:rFonts w:cs="Arial"/>
        </w:rPr>
        <w:fldChar w:fldCharType="begin"/>
      </w:r>
      <w:r w:rsidRPr="00E216C4">
        <w:rPr>
          <w:rFonts w:cs="Arial"/>
        </w:rPr>
        <w:instrText xml:space="preserve"> SEQ Figure \* ARABIC </w:instrText>
      </w:r>
      <w:r>
        <w:rPr>
          <w:rFonts w:cs="Arial"/>
        </w:rPr>
        <w:fldChar w:fldCharType="separate"/>
      </w:r>
      <w:r w:rsidR="00313D61">
        <w:rPr>
          <w:rFonts w:cs="Arial"/>
          <w:noProof/>
        </w:rPr>
        <w:t>6</w:t>
      </w:r>
      <w:r>
        <w:rPr>
          <w:rFonts w:cs="Arial"/>
        </w:rPr>
        <w:fldChar w:fldCharType="end"/>
      </w:r>
      <w:bookmarkEnd w:id="15"/>
      <w:r w:rsidRPr="003C2819">
        <w:rPr>
          <w:rFonts w:cs="Arial"/>
        </w:rPr>
        <w:t>: Mean user throughput for different offered load points for (a) Downlink, and (b) Uplink.</w:t>
      </w:r>
    </w:p>
    <w:p w14:paraId="034A0D15" w14:textId="77777777" w:rsidR="00FA2DE2" w:rsidRDefault="00FA2DE2" w:rsidP="00FA2DE2">
      <w:pPr>
        <w:pStyle w:val="BodyText"/>
        <w:jc w:val="center"/>
      </w:pPr>
      <w:r>
        <w:rPr>
          <w:noProof/>
        </w:rPr>
        <w:drawing>
          <wp:inline distT="0" distB="0" distL="0" distR="0" wp14:anchorId="01A5BB71" wp14:editId="4E147D25">
            <wp:extent cx="2907906" cy="2006600"/>
            <wp:effectExtent l="0" t="0" r="698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20">
                      <a:extLst>
                        <a:ext uri="{53640926-AAD7-44D8-BBD7-CCE9431645EC}">
                          <a14:shadowObscured xmlns:arto="http://schemas.microsoft.com/office/word/2006/arto" xmlns:a14="http://schemas.microsoft.com/office/drawing/2010/main" xmlns:a16="http://schemas.microsoft.com/office/drawing/2014/main" xmlns:w="http://schemas.openxmlformats.org/wordprocessingml/2006/main" xmlns:w10="urn:schemas-microsoft-com:office:word" xmlns:v="urn:schemas-microsoft-com:vml" xmlns:o="urn:schemas-microsoft-com:office:office" xmlns=""/>
                        </a:ext>
                      </a:extLst>
                    </a:blip>
                    <a:srcRect b="7331"/>
                    <a:stretch>
                      <a:fillRect/>
                    </a:stretch>
                  </pic:blipFill>
                  <pic:spPr>
                    <a:xfrm>
                      <a:off x="0" y="0"/>
                      <a:ext cx="2907906" cy="2006600"/>
                    </a:xfrm>
                    <a:prstGeom prst="rect">
                      <a:avLst/>
                    </a:prstGeom>
                  </pic:spPr>
                </pic:pic>
              </a:graphicData>
            </a:graphic>
          </wp:inline>
        </w:drawing>
      </w:r>
    </w:p>
    <w:p w14:paraId="4AE49AF2" w14:textId="4E031155" w:rsidR="00FA2DE2" w:rsidRPr="003C2819" w:rsidRDefault="00FA2DE2" w:rsidP="00FA2DE2">
      <w:pPr>
        <w:pStyle w:val="Caption"/>
        <w:jc w:val="center"/>
        <w:rPr>
          <w:rFonts w:cs="Arial"/>
        </w:rPr>
      </w:pPr>
      <w:bookmarkStart w:id="16" w:name="_Ref53135284"/>
      <w:r w:rsidRPr="003C2819">
        <w:rPr>
          <w:rFonts w:cs="Arial"/>
        </w:rPr>
        <w:t xml:space="preserve">Figure </w:t>
      </w:r>
      <w:r>
        <w:rPr>
          <w:rFonts w:cs="Arial"/>
        </w:rPr>
        <w:fldChar w:fldCharType="begin"/>
      </w:r>
      <w:r w:rsidRPr="00E612C8">
        <w:rPr>
          <w:rFonts w:cs="Arial"/>
        </w:rPr>
        <w:instrText xml:space="preserve"> SEQ Figure \* ARABIC </w:instrText>
      </w:r>
      <w:r>
        <w:rPr>
          <w:rFonts w:cs="Arial"/>
        </w:rPr>
        <w:fldChar w:fldCharType="separate"/>
      </w:r>
      <w:r w:rsidR="00313D61">
        <w:rPr>
          <w:rFonts w:cs="Arial"/>
          <w:noProof/>
        </w:rPr>
        <w:t>7</w:t>
      </w:r>
      <w:r>
        <w:rPr>
          <w:rFonts w:cs="Arial"/>
        </w:rPr>
        <w:fldChar w:fldCharType="end"/>
      </w:r>
      <w:bookmarkEnd w:id="16"/>
      <w:r w:rsidRPr="003C2819">
        <w:rPr>
          <w:rFonts w:cs="Arial"/>
        </w:rPr>
        <w:t>: Combined DL and UL mean buffer occupancy for different offered load points.</w:t>
      </w:r>
    </w:p>
    <w:p w14:paraId="3F191839" w14:textId="77777777" w:rsidR="00FA2DE2" w:rsidRDefault="00FA2DE2" w:rsidP="00FA2DE2">
      <w:pPr>
        <w:pStyle w:val="BodyText"/>
      </w:pPr>
    </w:p>
    <w:p w14:paraId="40C3192D" w14:textId="5FC69417" w:rsidR="00FA2DE2" w:rsidRDefault="00FA2DE2" w:rsidP="00FA2DE2">
      <w:pPr>
        <w:pStyle w:val="BodyText"/>
      </w:pPr>
      <w:r>
        <w:t xml:space="preserve">Based on the above analysis and discussion we </w:t>
      </w:r>
      <w:r w:rsidR="000F7408">
        <w:t>observe</w:t>
      </w:r>
      <w:r>
        <w:t xml:space="preserve"> the following</w:t>
      </w:r>
    </w:p>
    <w:p w14:paraId="17A99E5B" w14:textId="4B234DB1" w:rsidR="00FA2DE2" w:rsidRDefault="00FA2DE2" w:rsidP="000F7408">
      <w:pPr>
        <w:pStyle w:val="Observation"/>
      </w:pPr>
      <w:bookmarkStart w:id="17" w:name="_Toc53776183"/>
      <w:bookmarkStart w:id="18" w:name="_Toc61884529"/>
      <w:r>
        <w:t>It is beneficial to define NR channelization to allow full utilization of the various regional frequency allocations around the world.</w:t>
      </w:r>
      <w:r w:rsidRPr="006465E6">
        <w:t xml:space="preserve"> </w:t>
      </w:r>
      <w:r>
        <w:t xml:space="preserve">It is not necessary to </w:t>
      </w:r>
      <w:r w:rsidR="000F7408">
        <w:t xml:space="preserve">adopt a rigid design that requires strict </w:t>
      </w:r>
      <w:r>
        <w:t>align</w:t>
      </w:r>
      <w:r w:rsidR="000F7408">
        <w:t>ment of</w:t>
      </w:r>
      <w:r>
        <w:t xml:space="preserve"> NR channelization with IEEE 802.11ad</w:t>
      </w:r>
      <w:r w:rsidR="000F7408">
        <w:t>/ay</w:t>
      </w:r>
      <w:r>
        <w:t xml:space="preserve"> channelization from a coexistence point of view.</w:t>
      </w:r>
      <w:bookmarkEnd w:id="17"/>
      <w:bookmarkEnd w:id="18"/>
    </w:p>
    <w:p w14:paraId="6F9E0263" w14:textId="4812C959" w:rsidR="00372FD3" w:rsidRDefault="00372FD3" w:rsidP="00372FD3">
      <w:pPr>
        <w:pStyle w:val="Heading2"/>
      </w:pPr>
      <w:r>
        <w:t>2.2</w:t>
      </w:r>
      <w:r>
        <w:tab/>
        <w:t xml:space="preserve">Support for </w:t>
      </w:r>
      <w:r w:rsidR="007E196D">
        <w:t>maximum bandwidth for 960 kHz SCS</w:t>
      </w:r>
    </w:p>
    <w:p w14:paraId="23369757" w14:textId="2C14C90C" w:rsidR="00AF7C45" w:rsidRPr="00AF7C45" w:rsidRDefault="000F7408" w:rsidP="0002087B">
      <w:pPr>
        <w:rPr>
          <w:lang w:val="en-GB" w:eastAsia="ja-JP"/>
        </w:rPr>
      </w:pPr>
      <w:r>
        <w:rPr>
          <w:lang w:val="en-GB" w:eastAsia="ja-JP"/>
        </w:rPr>
        <w:t xml:space="preserve">In the above analysis we focused on the maximum channel bandwidth for 480 kHz SCS, i.e., </w:t>
      </w:r>
      <w:r w:rsidR="007E196D">
        <w:rPr>
          <w:lang w:val="en-GB" w:eastAsia="ja-JP"/>
        </w:rPr>
        <w:t>B</w:t>
      </w:r>
      <w:r w:rsidR="007E196D" w:rsidRPr="007E196D">
        <w:rPr>
          <w:vertAlign w:val="subscript"/>
          <w:lang w:val="en-GB" w:eastAsia="ja-JP"/>
        </w:rPr>
        <w:t>480</w:t>
      </w:r>
      <w:r w:rsidR="007E196D">
        <w:rPr>
          <w:lang w:val="en-GB" w:eastAsia="ja-JP"/>
        </w:rPr>
        <w:t xml:space="preserve"> </w:t>
      </w:r>
      <w:r w:rsidR="00076728">
        <w:rPr>
          <w:rFonts w:cs="Arial"/>
          <w:lang w:val="en-GB" w:eastAsia="ja-JP"/>
        </w:rPr>
        <w:t>≈</w:t>
      </w:r>
      <w:r w:rsidR="007E196D">
        <w:rPr>
          <w:lang w:val="en-GB" w:eastAsia="ja-JP"/>
        </w:rPr>
        <w:t xml:space="preserve"> </w:t>
      </w:r>
      <w:r>
        <w:rPr>
          <w:lang w:val="en-GB" w:eastAsia="ja-JP"/>
        </w:rPr>
        <w:t xml:space="preserve">1.6 GHz. For 960 kHz SCS, the maximum bandwidth can be increased to </w:t>
      </w:r>
      <w:r w:rsidR="007E196D">
        <w:rPr>
          <w:lang w:val="en-GB" w:eastAsia="ja-JP"/>
        </w:rPr>
        <w:t>somewhere in the range B</w:t>
      </w:r>
      <w:r w:rsidR="007E196D" w:rsidRPr="007E196D">
        <w:rPr>
          <w:vertAlign w:val="subscript"/>
          <w:lang w:val="en-GB" w:eastAsia="ja-JP"/>
        </w:rPr>
        <w:t>960</w:t>
      </w:r>
      <w:r w:rsidR="007E196D">
        <w:rPr>
          <w:lang w:val="en-GB" w:eastAsia="ja-JP"/>
        </w:rPr>
        <w:t xml:space="preserve"> = [2000 .. </w:t>
      </w:r>
      <w:r>
        <w:rPr>
          <w:lang w:val="en-GB" w:eastAsia="ja-JP"/>
        </w:rPr>
        <w:t>2160</w:t>
      </w:r>
      <w:r w:rsidR="007E196D">
        <w:rPr>
          <w:lang w:val="en-GB" w:eastAsia="ja-JP"/>
        </w:rPr>
        <w:t>]</w:t>
      </w:r>
      <w:r>
        <w:rPr>
          <w:lang w:val="en-GB" w:eastAsia="ja-JP"/>
        </w:rPr>
        <w:t xml:space="preserve"> MHz (see </w:t>
      </w:r>
      <w:r w:rsidR="00AF7C45">
        <w:rPr>
          <w:lang w:val="en-GB" w:eastAsia="ja-JP"/>
        </w:rPr>
        <w:fldChar w:fldCharType="begin"/>
      </w:r>
      <w:r w:rsidR="00AF7C45">
        <w:rPr>
          <w:lang w:val="en-GB" w:eastAsia="ja-JP"/>
        </w:rPr>
        <w:instrText xml:space="preserve"> REF _Ref61883737 \r \h </w:instrText>
      </w:r>
      <w:r w:rsidR="00AF7C45">
        <w:rPr>
          <w:lang w:val="en-GB" w:eastAsia="ja-JP"/>
        </w:rPr>
      </w:r>
      <w:r w:rsidR="00AF7C45">
        <w:rPr>
          <w:lang w:val="en-GB" w:eastAsia="ja-JP"/>
        </w:rPr>
        <w:fldChar w:fldCharType="separate"/>
      </w:r>
      <w:r w:rsidR="00313D61">
        <w:rPr>
          <w:lang w:val="en-GB" w:eastAsia="ja-JP"/>
        </w:rPr>
        <w:t>Proposal 1</w:t>
      </w:r>
      <w:r w:rsidR="00AF7C45">
        <w:rPr>
          <w:lang w:val="en-GB" w:eastAsia="ja-JP"/>
        </w:rPr>
        <w:fldChar w:fldCharType="end"/>
      </w:r>
      <w:r>
        <w:rPr>
          <w:lang w:val="en-GB" w:eastAsia="ja-JP"/>
        </w:rPr>
        <w:t>)</w:t>
      </w:r>
      <w:r w:rsidR="007E196D">
        <w:rPr>
          <w:lang w:val="en-GB" w:eastAsia="ja-JP"/>
        </w:rPr>
        <w:t>. We refer to this as a nominal 2000 MHz channel</w:t>
      </w:r>
      <w:r>
        <w:rPr>
          <w:lang w:val="en-GB" w:eastAsia="ja-JP"/>
        </w:rPr>
        <w:t>.</w:t>
      </w:r>
      <w:r w:rsidR="00AF7C45">
        <w:rPr>
          <w:lang w:val="en-GB" w:eastAsia="ja-JP"/>
        </w:rPr>
        <w:t xml:space="preserve"> We observed that if B</w:t>
      </w:r>
      <w:r w:rsidR="00AF7C45" w:rsidRPr="007E196D">
        <w:rPr>
          <w:vertAlign w:val="subscript"/>
          <w:lang w:val="en-GB" w:eastAsia="ja-JP"/>
        </w:rPr>
        <w:t>960</w:t>
      </w:r>
      <w:r w:rsidR="00AF7C45">
        <w:rPr>
          <w:vertAlign w:val="subscript"/>
          <w:lang w:val="en-GB" w:eastAsia="ja-JP"/>
        </w:rPr>
        <w:t xml:space="preserve"> </w:t>
      </w:r>
      <w:r w:rsidR="00AF7C45">
        <w:rPr>
          <w:lang w:val="en-GB" w:eastAsia="ja-JP"/>
        </w:rPr>
        <w:t>is chosen to be 5 times the bandwidth of the nominal 400 MHz channels, then a B</w:t>
      </w:r>
      <w:r w:rsidR="00AF7C45" w:rsidRPr="007E196D">
        <w:rPr>
          <w:vertAlign w:val="subscript"/>
          <w:lang w:val="en-GB" w:eastAsia="ja-JP"/>
        </w:rPr>
        <w:t>960</w:t>
      </w:r>
      <w:r w:rsidR="00AF7C45">
        <w:rPr>
          <w:lang w:val="en-GB" w:eastAsia="ja-JP"/>
        </w:rPr>
        <w:t xml:space="preserve"> channel could easily be added to the preferred "full utilization" exemplary band plan shown in </w:t>
      </w:r>
      <w:r w:rsidR="00AF7C45">
        <w:rPr>
          <w:lang w:val="en-GB" w:eastAsia="ja-JP"/>
        </w:rPr>
        <w:fldChar w:fldCharType="begin"/>
      </w:r>
      <w:r w:rsidR="00AF7C45">
        <w:rPr>
          <w:lang w:val="en-GB" w:eastAsia="ja-JP"/>
        </w:rPr>
        <w:instrText xml:space="preserve"> REF _Ref53062284 \h </w:instrText>
      </w:r>
      <w:r w:rsidR="00AF7C45">
        <w:rPr>
          <w:lang w:val="en-GB" w:eastAsia="ja-JP"/>
        </w:rPr>
      </w:r>
      <w:r w:rsidR="00AF7C45">
        <w:rPr>
          <w:lang w:val="en-GB" w:eastAsia="ja-JP"/>
        </w:rPr>
        <w:fldChar w:fldCharType="separate"/>
      </w:r>
      <w:r w:rsidR="00313D61" w:rsidRPr="003C2819">
        <w:rPr>
          <w:rFonts w:cs="Arial"/>
        </w:rPr>
        <w:t xml:space="preserve">Figure </w:t>
      </w:r>
      <w:r w:rsidR="00313D61">
        <w:rPr>
          <w:rFonts w:cs="Arial"/>
          <w:noProof/>
        </w:rPr>
        <w:t>2</w:t>
      </w:r>
      <w:r w:rsidR="00AF7C45">
        <w:rPr>
          <w:lang w:val="en-GB" w:eastAsia="ja-JP"/>
        </w:rPr>
        <w:fldChar w:fldCharType="end"/>
      </w:r>
      <w:r w:rsidR="00AF7C45">
        <w:rPr>
          <w:lang w:val="en-GB" w:eastAsia="ja-JP"/>
        </w:rPr>
        <w:t xml:space="preserve"> such that 5 nominal 400 MHz channels would be nested within one nominal 2000 MHz channel. If it is desired to align the NR channels with the IEEE channelization grid</w:t>
      </w:r>
      <w:r w:rsidR="00076728">
        <w:rPr>
          <w:lang w:val="en-GB" w:eastAsia="ja-JP"/>
        </w:rPr>
        <w:t>, despite any proof that there is a coexistence issue</w:t>
      </w:r>
      <w:r w:rsidR="00AF7C45">
        <w:rPr>
          <w:lang w:val="en-GB" w:eastAsia="ja-JP"/>
        </w:rPr>
        <w:t xml:space="preserve">, then as long as the channel raster defined in RAN4 for all nominal 400/800/1600/2000 MHz has sufficient flexibility, </w:t>
      </w:r>
      <w:r w:rsidR="005D6474">
        <w:rPr>
          <w:lang w:val="en-GB" w:eastAsia="ja-JP"/>
        </w:rPr>
        <w:t>the</w:t>
      </w:r>
      <w:r w:rsidR="006C6BC9">
        <w:rPr>
          <w:lang w:val="en-GB" w:eastAsia="ja-JP"/>
        </w:rPr>
        <w:t xml:space="preserve"> </w:t>
      </w:r>
      <w:r w:rsidR="00AF7C45">
        <w:rPr>
          <w:lang w:val="en-GB" w:eastAsia="ja-JP"/>
        </w:rPr>
        <w:t xml:space="preserve">channels </w:t>
      </w:r>
      <w:r w:rsidR="006C6BC9">
        <w:rPr>
          <w:lang w:val="en-GB" w:eastAsia="ja-JP"/>
        </w:rPr>
        <w:t>could</w:t>
      </w:r>
      <w:r w:rsidR="00AF7C45">
        <w:rPr>
          <w:lang w:val="en-GB" w:eastAsia="ja-JP"/>
        </w:rPr>
        <w:t xml:space="preserve"> be shifted to allow alignment as shown in </w:t>
      </w:r>
      <w:r w:rsidR="00AF7C45">
        <w:rPr>
          <w:lang w:val="en-GB" w:eastAsia="ja-JP"/>
        </w:rPr>
        <w:fldChar w:fldCharType="begin"/>
      </w:r>
      <w:r w:rsidR="00AF7C45">
        <w:rPr>
          <w:lang w:val="en-GB" w:eastAsia="ja-JP"/>
        </w:rPr>
        <w:instrText xml:space="preserve"> REF _Ref53063396 \h </w:instrText>
      </w:r>
      <w:r w:rsidR="00AF7C45">
        <w:rPr>
          <w:lang w:val="en-GB" w:eastAsia="ja-JP"/>
        </w:rPr>
      </w:r>
      <w:r w:rsidR="00AF7C45">
        <w:rPr>
          <w:lang w:val="en-GB" w:eastAsia="ja-JP"/>
        </w:rPr>
        <w:fldChar w:fldCharType="separate"/>
      </w:r>
      <w:r w:rsidR="00313D61" w:rsidRPr="003C2819">
        <w:rPr>
          <w:rFonts w:cs="Arial"/>
        </w:rPr>
        <w:t xml:space="preserve">Figure </w:t>
      </w:r>
      <w:r w:rsidR="00313D61">
        <w:rPr>
          <w:rFonts w:cs="Arial"/>
          <w:noProof/>
        </w:rPr>
        <w:t>4</w:t>
      </w:r>
      <w:r w:rsidR="00AF7C45">
        <w:rPr>
          <w:lang w:val="en-GB" w:eastAsia="ja-JP"/>
        </w:rPr>
        <w:fldChar w:fldCharType="end"/>
      </w:r>
      <w:r w:rsidR="00AF7C45">
        <w:rPr>
          <w:lang w:val="en-GB" w:eastAsia="ja-JP"/>
        </w:rPr>
        <w:t>. However, we emphasize that this should not be the only configuration possibility</w:t>
      </w:r>
      <w:r w:rsidR="00076728">
        <w:rPr>
          <w:lang w:val="en-GB" w:eastAsia="ja-JP"/>
        </w:rPr>
        <w:t xml:space="preserve"> due </w:t>
      </w:r>
      <w:r w:rsidR="006C6BC9">
        <w:rPr>
          <w:lang w:val="en-GB" w:eastAsia="ja-JP"/>
        </w:rPr>
        <w:t xml:space="preserve">to problems with </w:t>
      </w:r>
      <w:r w:rsidR="00076728">
        <w:rPr>
          <w:lang w:val="en-GB" w:eastAsia="ja-JP"/>
        </w:rPr>
        <w:t>inefficient use of the spectrum</w:t>
      </w:r>
      <w:r w:rsidR="006C6BC9">
        <w:rPr>
          <w:lang w:val="en-GB" w:eastAsia="ja-JP"/>
        </w:rPr>
        <w:t xml:space="preserve"> as demonstrated above.</w:t>
      </w:r>
    </w:p>
    <w:p w14:paraId="54F39D61" w14:textId="7B9D05F1" w:rsidR="0002087B" w:rsidRPr="007E196D" w:rsidRDefault="0002087B" w:rsidP="00076728">
      <w:pPr>
        <w:rPr>
          <w:lang w:val="en-GB" w:eastAsia="ja-JP"/>
        </w:rPr>
      </w:pPr>
    </w:p>
    <w:p w14:paraId="20E96317" w14:textId="77777777" w:rsidR="0002087B" w:rsidRPr="00CE0424" w:rsidRDefault="0002087B" w:rsidP="0002087B">
      <w:pPr>
        <w:pStyle w:val="Heading1"/>
      </w:pPr>
      <w:r w:rsidRPr="00CE0424">
        <w:lastRenderedPageBreak/>
        <w:t>Conclusion</w:t>
      </w:r>
    </w:p>
    <w:p w14:paraId="348B1C75" w14:textId="77777777" w:rsidR="0002087B" w:rsidRDefault="0002087B" w:rsidP="0002087B">
      <w:pPr>
        <w:pStyle w:val="BodyText"/>
        <w:rPr>
          <w:b/>
          <w:bCs/>
        </w:rPr>
      </w:pPr>
      <w:r>
        <w:t>In the previous sections</w:t>
      </w:r>
      <w:r w:rsidRPr="00CE0424">
        <w:t xml:space="preserve"> we </w:t>
      </w:r>
      <w:r>
        <w:t>made the following observations</w:t>
      </w:r>
      <w:r w:rsidRPr="00CE0424">
        <w:t>:</w:t>
      </w:r>
      <w:r>
        <w:rPr>
          <w:b/>
          <w:bCs/>
        </w:rPr>
        <w:t xml:space="preserve"> </w:t>
      </w:r>
    </w:p>
    <w:p w14:paraId="5BF0CA9C" w14:textId="77777777" w:rsidR="00313D61" w:rsidRDefault="0002087B">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61884528" w:history="1">
        <w:r w:rsidR="00313D61" w:rsidRPr="006E24CC">
          <w:rPr>
            <w:rStyle w:val="Hyperlink"/>
            <w:noProof/>
          </w:rPr>
          <w:t>Observation 1</w:t>
        </w:r>
        <w:r w:rsidR="00313D61">
          <w:rPr>
            <w:rFonts w:asciiTheme="minorHAnsi" w:eastAsiaTheme="minorEastAsia" w:hAnsiTheme="minorHAnsi"/>
            <w:b w:val="0"/>
            <w:noProof/>
            <w:sz w:val="22"/>
            <w:lang w:eastAsia="en-US"/>
          </w:rPr>
          <w:tab/>
        </w:r>
        <w:r w:rsidR="00313D61" w:rsidRPr="006E24CC">
          <w:rPr>
            <w:rStyle w:val="Hyperlink"/>
            <w:noProof/>
          </w:rPr>
          <w:t>If NR would adopt a rigid channelization design such that all channels are strictly confined to be within the 2.16 GHz channels defined by IEEE 802.11ad, a large wastage of spectrum would occur in many regions of the world.</w:t>
        </w:r>
      </w:hyperlink>
    </w:p>
    <w:p w14:paraId="3F99B649" w14:textId="77777777" w:rsidR="00313D61" w:rsidRDefault="00553950">
      <w:pPr>
        <w:pStyle w:val="TableofFigures"/>
        <w:tabs>
          <w:tab w:val="right" w:leader="dot" w:pos="9629"/>
        </w:tabs>
        <w:rPr>
          <w:rFonts w:asciiTheme="minorHAnsi" w:eastAsiaTheme="minorEastAsia" w:hAnsiTheme="minorHAnsi"/>
          <w:b w:val="0"/>
          <w:noProof/>
          <w:sz w:val="22"/>
          <w:lang w:eastAsia="en-US"/>
        </w:rPr>
      </w:pPr>
      <w:hyperlink w:anchor="_Toc61884529" w:history="1">
        <w:r w:rsidR="00313D61" w:rsidRPr="006E24CC">
          <w:rPr>
            <w:rStyle w:val="Hyperlink"/>
            <w:noProof/>
          </w:rPr>
          <w:t>Observation 2</w:t>
        </w:r>
        <w:r w:rsidR="00313D61">
          <w:rPr>
            <w:rFonts w:asciiTheme="minorHAnsi" w:eastAsiaTheme="minorEastAsia" w:hAnsiTheme="minorHAnsi"/>
            <w:b w:val="0"/>
            <w:noProof/>
            <w:sz w:val="22"/>
            <w:lang w:eastAsia="en-US"/>
          </w:rPr>
          <w:tab/>
        </w:r>
        <w:r w:rsidR="00313D61" w:rsidRPr="006E24CC">
          <w:rPr>
            <w:rStyle w:val="Hyperlink"/>
            <w:noProof/>
          </w:rPr>
          <w:t>It is beneficial to define NR channelization to allow full utilization of the various regional frequency allocations around the world. It is not necessary to adopt a rigid design that requires strict alignment of NR channelization with IEEE 802.11ad/ay channelization from a coexistence point of view.</w:t>
        </w:r>
      </w:hyperlink>
    </w:p>
    <w:p w14:paraId="3A7CA2BF" w14:textId="06F2F2C7" w:rsidR="0002087B" w:rsidRDefault="0002087B" w:rsidP="0002087B">
      <w:pPr>
        <w:pStyle w:val="BodyText"/>
        <w:rPr>
          <w:b/>
          <w:bCs/>
        </w:rPr>
      </w:pPr>
      <w:r>
        <w:rPr>
          <w:b/>
          <w:bCs/>
        </w:rPr>
        <w:fldChar w:fldCharType="end"/>
      </w:r>
    </w:p>
    <w:p w14:paraId="5A7C56BF" w14:textId="77777777" w:rsidR="0002087B" w:rsidRDefault="0002087B" w:rsidP="0002087B">
      <w:pPr>
        <w:pStyle w:val="BodyText"/>
      </w:pPr>
      <w:r w:rsidRPr="00CE0424">
        <w:t xml:space="preserve">Based on the discussion in </w:t>
      </w:r>
      <w:r>
        <w:t xml:space="preserve">the previous </w:t>
      </w:r>
      <w:r w:rsidRPr="00CE0424">
        <w:t>section</w:t>
      </w:r>
      <w:r>
        <w:t>s</w:t>
      </w:r>
      <w:r w:rsidRPr="00CE0424">
        <w:t xml:space="preserve"> we propose the following:</w:t>
      </w:r>
    </w:p>
    <w:p w14:paraId="3FEA75BB" w14:textId="77777777" w:rsidR="00313D61" w:rsidRDefault="0002087B">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61884530" w:history="1">
        <w:r w:rsidR="00313D61" w:rsidRPr="00F548EE">
          <w:rPr>
            <w:rStyle w:val="Hyperlink"/>
            <w:noProof/>
          </w:rPr>
          <w:t>Proposal 1</w:t>
        </w:r>
        <w:r w:rsidR="00313D61">
          <w:rPr>
            <w:rFonts w:asciiTheme="minorHAnsi" w:eastAsiaTheme="minorEastAsia" w:hAnsiTheme="minorHAnsi"/>
            <w:b w:val="0"/>
            <w:noProof/>
            <w:sz w:val="22"/>
            <w:lang w:eastAsia="en-US"/>
          </w:rPr>
          <w:tab/>
        </w:r>
        <w:r w:rsidR="00313D61" w:rsidRPr="00F548EE">
          <w:rPr>
            <w:rStyle w:val="Hyperlink"/>
            <w:noProof/>
          </w:rPr>
          <w:t xml:space="preserve">Inform RAN4 that from a RAN1 perspective it is feasible to define the maximum channel bandwidth for 960 kHz SCS to be in the range B = [2000 .. 2160 MHz] and for 480 kHz SCS as B </w:t>
        </w:r>
        <w:r w:rsidR="00313D61" w:rsidRPr="00F548EE">
          <w:rPr>
            <w:rStyle w:val="Hyperlink"/>
            <w:rFonts w:cs="Arial"/>
            <w:noProof/>
          </w:rPr>
          <w:t>≈</w:t>
        </w:r>
        <w:r w:rsidR="00313D61" w:rsidRPr="00F548EE">
          <w:rPr>
            <w:rStyle w:val="Hyperlink"/>
            <w:noProof/>
          </w:rPr>
          <w:t xml:space="preserve"> 1600 MHz, using an FFT size of 4096. The precise values of B depend at least on the desired channelization design, the desired spectral utilization value (ratio of transmission BW configuration to channel BW), and a target FFT utilization value).</w:t>
        </w:r>
      </w:hyperlink>
    </w:p>
    <w:p w14:paraId="24172847" w14:textId="20B36AE4" w:rsidR="0002087B" w:rsidRPr="00CE0424" w:rsidRDefault="0002087B" w:rsidP="0002087B">
      <w:pPr>
        <w:pStyle w:val="BodyText"/>
        <w:rPr>
          <w:b/>
          <w:bCs/>
        </w:rPr>
      </w:pPr>
      <w:r>
        <w:rPr>
          <w:b/>
          <w:bCs/>
        </w:rPr>
        <w:fldChar w:fldCharType="end"/>
      </w:r>
    </w:p>
    <w:p w14:paraId="2770E544" w14:textId="77777777" w:rsidR="0002087B" w:rsidRPr="00CE0424" w:rsidRDefault="0002087B" w:rsidP="0002087B">
      <w:pPr>
        <w:pStyle w:val="Heading1"/>
      </w:pPr>
      <w:bookmarkStart w:id="19" w:name="_In-sequence_SDU_delivery"/>
      <w:bookmarkEnd w:id="19"/>
      <w:r w:rsidRPr="00CE0424">
        <w:t>References</w:t>
      </w:r>
    </w:p>
    <w:p w14:paraId="2BC2BD8D" w14:textId="3A84CA81" w:rsidR="00971FB8" w:rsidRDefault="00971FB8" w:rsidP="00971FB8">
      <w:pPr>
        <w:pStyle w:val="Reference"/>
      </w:pPr>
      <w:bookmarkStart w:id="20" w:name="_Ref60753713"/>
      <w:bookmarkStart w:id="21" w:name="_Ref53058099"/>
      <w:r>
        <w:t>R1-202925, "</w:t>
      </w:r>
      <w:r w:rsidRPr="00AF56A8">
        <w:t>Revised WID</w:t>
      </w:r>
      <w:r>
        <w:t xml:space="preserve"> </w:t>
      </w:r>
      <w:r w:rsidRPr="00AF56A8">
        <w:t>on Extending current NR operation to 71 GHz</w:t>
      </w:r>
      <w:r>
        <w:t>," CMCC, RAN#90-e, December 2020.</w:t>
      </w:r>
      <w:bookmarkEnd w:id="20"/>
    </w:p>
    <w:p w14:paraId="135986D1" w14:textId="528E3189" w:rsidR="005F7C4A" w:rsidRDefault="005F7C4A" w:rsidP="00971FB8">
      <w:pPr>
        <w:pStyle w:val="Reference"/>
      </w:pPr>
      <w:bookmarkStart w:id="22" w:name="_Ref61877083"/>
      <w:r>
        <w:t>R1-2101310, "</w:t>
      </w:r>
      <w:r w:rsidRPr="005F7C4A">
        <w:t>PDSCH/PUSCH enhancem</w:t>
      </w:r>
      <w:r>
        <w:t>ents," Ericsson, RAN1#104-e, January 2021.</w:t>
      </w:r>
      <w:bookmarkEnd w:id="22"/>
    </w:p>
    <w:p w14:paraId="79B7E35D" w14:textId="77777777" w:rsidR="00971FB8" w:rsidRDefault="00971FB8" w:rsidP="00971FB8">
      <w:pPr>
        <w:pStyle w:val="Reference"/>
        <w:overflowPunct w:val="0"/>
        <w:autoSpaceDE w:val="0"/>
        <w:autoSpaceDN w:val="0"/>
        <w:adjustRightInd w:val="0"/>
        <w:spacing w:line="240" w:lineRule="auto"/>
        <w:textAlignment w:val="baseline"/>
      </w:pPr>
      <w:bookmarkStart w:id="23" w:name="_Ref61876331"/>
      <w:r>
        <w:t>3GPP TR 38.807, "</w:t>
      </w:r>
      <w:r w:rsidRPr="00FA5D06">
        <w:t>Study on requirements for NR beyond 52.6 GHz</w:t>
      </w:r>
      <w:r>
        <w:t>," v16.0.0, December 2019.</w:t>
      </w:r>
      <w:bookmarkEnd w:id="21"/>
      <w:bookmarkEnd w:id="23"/>
    </w:p>
    <w:p w14:paraId="1E9A6BB6" w14:textId="37F160B6" w:rsidR="00971FB8" w:rsidRDefault="00971FB8" w:rsidP="00971FB8">
      <w:pPr>
        <w:pStyle w:val="Reference"/>
        <w:overflowPunct w:val="0"/>
        <w:autoSpaceDE w:val="0"/>
        <w:autoSpaceDN w:val="0"/>
        <w:adjustRightInd w:val="0"/>
        <w:spacing w:line="240" w:lineRule="auto"/>
        <w:textAlignment w:val="baseline"/>
      </w:pPr>
      <w:bookmarkStart w:id="24" w:name="_Ref46231781"/>
      <w:bookmarkStart w:id="25" w:name="_Ref46490548"/>
      <w:bookmarkStart w:id="26" w:name="_Ref52864098"/>
      <w:r w:rsidRPr="004F69A1">
        <w:t>R1-20</w:t>
      </w:r>
      <w:r>
        <w:t>07983, "Channel access mechanism</w:t>
      </w:r>
      <w:bookmarkEnd w:id="24"/>
      <w:r>
        <w:t>," Ericsson</w:t>
      </w:r>
      <w:bookmarkEnd w:id="25"/>
      <w:r>
        <w:t>, RAN1#103-e, October 2020.</w:t>
      </w:r>
      <w:bookmarkEnd w:id="26"/>
    </w:p>
    <w:p w14:paraId="4217E535" w14:textId="5126C274" w:rsidR="00212D83" w:rsidRDefault="00212D83" w:rsidP="00971FB8">
      <w:pPr>
        <w:pStyle w:val="Reference"/>
        <w:overflowPunct w:val="0"/>
        <w:autoSpaceDE w:val="0"/>
        <w:autoSpaceDN w:val="0"/>
        <w:adjustRightInd w:val="0"/>
        <w:spacing w:line="240" w:lineRule="auto"/>
        <w:textAlignment w:val="baseline"/>
      </w:pPr>
      <w:bookmarkStart w:id="27" w:name="_Ref61878936"/>
      <w:r>
        <w:t>R1-2101311, "Channel access mechanisms," Ericsson, RAN1#104-3, January 2021.</w:t>
      </w:r>
      <w:bookmarkEnd w:id="27"/>
    </w:p>
    <w:p w14:paraId="68425289" w14:textId="39A7EE2E" w:rsidR="00971FB8" w:rsidRDefault="00553950" w:rsidP="00971FB8">
      <w:pPr>
        <w:pStyle w:val="Reference"/>
        <w:overflowPunct w:val="0"/>
        <w:autoSpaceDE w:val="0"/>
        <w:autoSpaceDN w:val="0"/>
        <w:adjustRightInd w:val="0"/>
        <w:spacing w:line="240" w:lineRule="auto"/>
        <w:textAlignment w:val="baseline"/>
        <w:rPr>
          <w:lang w:eastAsia="en-US"/>
        </w:rPr>
      </w:pPr>
      <w:hyperlink r:id="rId21" w:history="1">
        <w:bookmarkStart w:id="28" w:name="_Ref53119110"/>
        <w:r w:rsidR="00971FB8" w:rsidRPr="00F24E1B">
          <w:rPr>
            <w:rStyle w:val="Hyperlink"/>
            <w:lang w:eastAsia="en-US"/>
          </w:rPr>
          <w:t>https://mentor.ieee.org/802.11/dcn/16/11-16-0456-00-00aj-overview-of-802-11aj-60ghz-and-its-backward-compatibility-features.ppt</w:t>
        </w:r>
        <w:bookmarkEnd w:id="28"/>
      </w:hyperlink>
    </w:p>
    <w:p w14:paraId="715CA09B" w14:textId="77777777" w:rsidR="003A7EF3" w:rsidRPr="0002087B" w:rsidRDefault="003A7EF3" w:rsidP="0002087B"/>
    <w:sectPr w:rsidR="003A7EF3" w:rsidRPr="0002087B"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0E631" w14:textId="77777777" w:rsidR="007A44B6" w:rsidRDefault="007A44B6">
      <w:r>
        <w:separator/>
      </w:r>
    </w:p>
  </w:endnote>
  <w:endnote w:type="continuationSeparator" w:id="0">
    <w:p w14:paraId="73BF6D2A" w14:textId="77777777" w:rsidR="007A44B6" w:rsidRDefault="007A4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9EC41" w14:textId="77777777" w:rsidR="007A44B6" w:rsidRDefault="007A44B6">
      <w:r>
        <w:separator/>
      </w:r>
    </w:p>
  </w:footnote>
  <w:footnote w:type="continuationSeparator" w:id="0">
    <w:p w14:paraId="429794DD" w14:textId="77777777" w:rsidR="007A44B6" w:rsidRDefault="007A4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C92EBB"/>
    <w:multiLevelType w:val="hybridMultilevel"/>
    <w:tmpl w:val="DDA80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8C3291"/>
    <w:multiLevelType w:val="hybridMultilevel"/>
    <w:tmpl w:val="919A2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43418"/>
    <w:multiLevelType w:val="hybridMultilevel"/>
    <w:tmpl w:val="570E4140"/>
    <w:lvl w:ilvl="0" w:tplc="9FAACCBE">
      <w:start w:val="1"/>
      <w:numFmt w:val="bullet"/>
      <w:lvlText w:val=""/>
      <w:lvlJc w:val="left"/>
      <w:pPr>
        <w:tabs>
          <w:tab w:val="num" w:pos="720"/>
        </w:tabs>
        <w:ind w:left="720" w:hanging="360"/>
      </w:pPr>
      <w:rPr>
        <w:rFonts w:ascii="Symbol" w:hAnsi="Symbol" w:hint="default"/>
      </w:rPr>
    </w:lvl>
    <w:lvl w:ilvl="1" w:tplc="2CD8D0E4">
      <w:numFmt w:val="bullet"/>
      <w:lvlText w:val="o"/>
      <w:lvlJc w:val="left"/>
      <w:pPr>
        <w:tabs>
          <w:tab w:val="num" w:pos="1440"/>
        </w:tabs>
        <w:ind w:left="1440" w:hanging="360"/>
      </w:pPr>
      <w:rPr>
        <w:rFonts w:ascii="Courier New" w:hAnsi="Courier New" w:hint="default"/>
      </w:rPr>
    </w:lvl>
    <w:lvl w:ilvl="2" w:tplc="40D45D56" w:tentative="1">
      <w:start w:val="1"/>
      <w:numFmt w:val="bullet"/>
      <w:lvlText w:val=""/>
      <w:lvlJc w:val="left"/>
      <w:pPr>
        <w:tabs>
          <w:tab w:val="num" w:pos="2160"/>
        </w:tabs>
        <w:ind w:left="2160" w:hanging="360"/>
      </w:pPr>
      <w:rPr>
        <w:rFonts w:ascii="Symbol" w:hAnsi="Symbol" w:hint="default"/>
      </w:rPr>
    </w:lvl>
    <w:lvl w:ilvl="3" w:tplc="05F02104" w:tentative="1">
      <w:start w:val="1"/>
      <w:numFmt w:val="bullet"/>
      <w:lvlText w:val=""/>
      <w:lvlJc w:val="left"/>
      <w:pPr>
        <w:tabs>
          <w:tab w:val="num" w:pos="2880"/>
        </w:tabs>
        <w:ind w:left="2880" w:hanging="360"/>
      </w:pPr>
      <w:rPr>
        <w:rFonts w:ascii="Symbol" w:hAnsi="Symbol" w:hint="default"/>
      </w:rPr>
    </w:lvl>
    <w:lvl w:ilvl="4" w:tplc="E5405EDE" w:tentative="1">
      <w:start w:val="1"/>
      <w:numFmt w:val="bullet"/>
      <w:lvlText w:val=""/>
      <w:lvlJc w:val="left"/>
      <w:pPr>
        <w:tabs>
          <w:tab w:val="num" w:pos="3600"/>
        </w:tabs>
        <w:ind w:left="3600" w:hanging="360"/>
      </w:pPr>
      <w:rPr>
        <w:rFonts w:ascii="Symbol" w:hAnsi="Symbol" w:hint="default"/>
      </w:rPr>
    </w:lvl>
    <w:lvl w:ilvl="5" w:tplc="C9D0CFA6" w:tentative="1">
      <w:start w:val="1"/>
      <w:numFmt w:val="bullet"/>
      <w:lvlText w:val=""/>
      <w:lvlJc w:val="left"/>
      <w:pPr>
        <w:tabs>
          <w:tab w:val="num" w:pos="4320"/>
        </w:tabs>
        <w:ind w:left="4320" w:hanging="360"/>
      </w:pPr>
      <w:rPr>
        <w:rFonts w:ascii="Symbol" w:hAnsi="Symbol" w:hint="default"/>
      </w:rPr>
    </w:lvl>
    <w:lvl w:ilvl="6" w:tplc="8FF6647C" w:tentative="1">
      <w:start w:val="1"/>
      <w:numFmt w:val="bullet"/>
      <w:lvlText w:val=""/>
      <w:lvlJc w:val="left"/>
      <w:pPr>
        <w:tabs>
          <w:tab w:val="num" w:pos="5040"/>
        </w:tabs>
        <w:ind w:left="5040" w:hanging="360"/>
      </w:pPr>
      <w:rPr>
        <w:rFonts w:ascii="Symbol" w:hAnsi="Symbol" w:hint="default"/>
      </w:rPr>
    </w:lvl>
    <w:lvl w:ilvl="7" w:tplc="81AABE42" w:tentative="1">
      <w:start w:val="1"/>
      <w:numFmt w:val="bullet"/>
      <w:lvlText w:val=""/>
      <w:lvlJc w:val="left"/>
      <w:pPr>
        <w:tabs>
          <w:tab w:val="num" w:pos="5760"/>
        </w:tabs>
        <w:ind w:left="5760" w:hanging="360"/>
      </w:pPr>
      <w:rPr>
        <w:rFonts w:ascii="Symbol" w:hAnsi="Symbol" w:hint="default"/>
      </w:rPr>
    </w:lvl>
    <w:lvl w:ilvl="8" w:tplc="A28AFE4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1070F9"/>
    <w:multiLevelType w:val="hybridMultilevel"/>
    <w:tmpl w:val="B636C986"/>
    <w:lvl w:ilvl="0" w:tplc="987EBF36">
      <w:start w:val="1"/>
      <w:numFmt w:val="bullet"/>
      <w:lvlText w:val=""/>
      <w:lvlJc w:val="left"/>
      <w:pPr>
        <w:tabs>
          <w:tab w:val="num" w:pos="720"/>
        </w:tabs>
        <w:ind w:left="720" w:hanging="360"/>
      </w:pPr>
      <w:rPr>
        <w:rFonts w:ascii="Wingdings" w:hAnsi="Wingdings" w:hint="default"/>
      </w:rPr>
    </w:lvl>
    <w:lvl w:ilvl="1" w:tplc="1BBAFB68" w:tentative="1">
      <w:start w:val="1"/>
      <w:numFmt w:val="bullet"/>
      <w:lvlText w:val=""/>
      <w:lvlJc w:val="left"/>
      <w:pPr>
        <w:tabs>
          <w:tab w:val="num" w:pos="1440"/>
        </w:tabs>
        <w:ind w:left="1440" w:hanging="360"/>
      </w:pPr>
      <w:rPr>
        <w:rFonts w:ascii="Wingdings" w:hAnsi="Wingdings" w:hint="default"/>
      </w:rPr>
    </w:lvl>
    <w:lvl w:ilvl="2" w:tplc="4904B148" w:tentative="1">
      <w:start w:val="1"/>
      <w:numFmt w:val="bullet"/>
      <w:lvlText w:val=""/>
      <w:lvlJc w:val="left"/>
      <w:pPr>
        <w:tabs>
          <w:tab w:val="num" w:pos="2160"/>
        </w:tabs>
        <w:ind w:left="2160" w:hanging="360"/>
      </w:pPr>
      <w:rPr>
        <w:rFonts w:ascii="Wingdings" w:hAnsi="Wingdings" w:hint="default"/>
      </w:rPr>
    </w:lvl>
    <w:lvl w:ilvl="3" w:tplc="BE463E68" w:tentative="1">
      <w:start w:val="1"/>
      <w:numFmt w:val="bullet"/>
      <w:lvlText w:val=""/>
      <w:lvlJc w:val="left"/>
      <w:pPr>
        <w:tabs>
          <w:tab w:val="num" w:pos="2880"/>
        </w:tabs>
        <w:ind w:left="2880" w:hanging="360"/>
      </w:pPr>
      <w:rPr>
        <w:rFonts w:ascii="Wingdings" w:hAnsi="Wingdings" w:hint="default"/>
      </w:rPr>
    </w:lvl>
    <w:lvl w:ilvl="4" w:tplc="7846AD06" w:tentative="1">
      <w:start w:val="1"/>
      <w:numFmt w:val="bullet"/>
      <w:lvlText w:val=""/>
      <w:lvlJc w:val="left"/>
      <w:pPr>
        <w:tabs>
          <w:tab w:val="num" w:pos="3600"/>
        </w:tabs>
        <w:ind w:left="3600" w:hanging="360"/>
      </w:pPr>
      <w:rPr>
        <w:rFonts w:ascii="Wingdings" w:hAnsi="Wingdings" w:hint="default"/>
      </w:rPr>
    </w:lvl>
    <w:lvl w:ilvl="5" w:tplc="2F1A5DD8" w:tentative="1">
      <w:start w:val="1"/>
      <w:numFmt w:val="bullet"/>
      <w:lvlText w:val=""/>
      <w:lvlJc w:val="left"/>
      <w:pPr>
        <w:tabs>
          <w:tab w:val="num" w:pos="4320"/>
        </w:tabs>
        <w:ind w:left="4320" w:hanging="360"/>
      </w:pPr>
      <w:rPr>
        <w:rFonts w:ascii="Wingdings" w:hAnsi="Wingdings" w:hint="default"/>
      </w:rPr>
    </w:lvl>
    <w:lvl w:ilvl="6" w:tplc="B09CEBF8" w:tentative="1">
      <w:start w:val="1"/>
      <w:numFmt w:val="bullet"/>
      <w:lvlText w:val=""/>
      <w:lvlJc w:val="left"/>
      <w:pPr>
        <w:tabs>
          <w:tab w:val="num" w:pos="5040"/>
        </w:tabs>
        <w:ind w:left="5040" w:hanging="360"/>
      </w:pPr>
      <w:rPr>
        <w:rFonts w:ascii="Wingdings" w:hAnsi="Wingdings" w:hint="default"/>
      </w:rPr>
    </w:lvl>
    <w:lvl w:ilvl="7" w:tplc="1422AFF8" w:tentative="1">
      <w:start w:val="1"/>
      <w:numFmt w:val="bullet"/>
      <w:lvlText w:val=""/>
      <w:lvlJc w:val="left"/>
      <w:pPr>
        <w:tabs>
          <w:tab w:val="num" w:pos="5760"/>
        </w:tabs>
        <w:ind w:left="5760" w:hanging="360"/>
      </w:pPr>
      <w:rPr>
        <w:rFonts w:ascii="Wingdings" w:hAnsi="Wingdings" w:hint="default"/>
      </w:rPr>
    </w:lvl>
    <w:lvl w:ilvl="8" w:tplc="440035A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85608C"/>
    <w:multiLevelType w:val="hybridMultilevel"/>
    <w:tmpl w:val="D03AE4B8"/>
    <w:lvl w:ilvl="0" w:tplc="3208CA6A">
      <w:start w:val="1"/>
      <w:numFmt w:val="lowerLetter"/>
      <w:lvlText w:val="(%1)"/>
      <w:lvlJc w:val="left"/>
      <w:pPr>
        <w:ind w:left="6720" w:hanging="468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12" w15:restartNumberingAfterBreak="0">
    <w:nsid w:val="29BC3D14"/>
    <w:multiLevelType w:val="hybridMultilevel"/>
    <w:tmpl w:val="BD6C8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8B299F"/>
    <w:multiLevelType w:val="hybridMultilevel"/>
    <w:tmpl w:val="CA0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623EA1"/>
    <w:multiLevelType w:val="hybridMultilevel"/>
    <w:tmpl w:val="C21C5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3A6302"/>
    <w:multiLevelType w:val="hybridMultilevel"/>
    <w:tmpl w:val="0DB2C7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257111"/>
    <w:multiLevelType w:val="hybridMultilevel"/>
    <w:tmpl w:val="AFE446D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7CDECE8C"/>
    <w:lvl w:ilvl="0" w:tplc="6122AD0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9B570E2"/>
    <w:multiLevelType w:val="hybridMultilevel"/>
    <w:tmpl w:val="4D286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8"/>
  </w:num>
  <w:num w:numId="4">
    <w:abstractNumId w:val="19"/>
  </w:num>
  <w:num w:numId="5">
    <w:abstractNumId w:val="14"/>
  </w:num>
  <w:num w:numId="6">
    <w:abstractNumId w:val="22"/>
  </w:num>
  <w:num w:numId="7">
    <w:abstractNumId w:val="29"/>
  </w:num>
  <w:num w:numId="8">
    <w:abstractNumId w:val="16"/>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0"/>
  </w:num>
  <w:num w:numId="16">
    <w:abstractNumId w:val="31"/>
  </w:num>
  <w:num w:numId="17">
    <w:abstractNumId w:val="9"/>
  </w:num>
  <w:num w:numId="18">
    <w:abstractNumId w:val="10"/>
  </w:num>
  <w:num w:numId="19">
    <w:abstractNumId w:val="5"/>
  </w:num>
  <w:num w:numId="20">
    <w:abstractNumId w:val="34"/>
  </w:num>
  <w:num w:numId="21">
    <w:abstractNumId w:val="17"/>
  </w:num>
  <w:num w:numId="22">
    <w:abstractNumId w:val="32"/>
  </w:num>
  <w:num w:numId="23">
    <w:abstractNumId w:val="30"/>
  </w:num>
  <w:num w:numId="24">
    <w:abstractNumId w:val="15"/>
  </w:num>
  <w:num w:numId="25">
    <w:abstractNumId w:val="35"/>
  </w:num>
  <w:num w:numId="26">
    <w:abstractNumId w:val="26"/>
  </w:num>
  <w:num w:numId="27">
    <w:abstractNumId w:val="6"/>
  </w:num>
  <w:num w:numId="28">
    <w:abstractNumId w:val="23"/>
  </w:num>
  <w:num w:numId="29">
    <w:abstractNumId w:val="33"/>
  </w:num>
  <w:num w:numId="30">
    <w:abstractNumId w:val="24"/>
  </w:num>
  <w:num w:numId="31">
    <w:abstractNumId w:val="21"/>
  </w:num>
  <w:num w:numId="32">
    <w:abstractNumId w:val="4"/>
  </w:num>
  <w:num w:numId="33">
    <w:abstractNumId w:val="12"/>
  </w:num>
  <w:num w:numId="34">
    <w:abstractNumId w:val="7"/>
  </w:num>
  <w:num w:numId="35">
    <w:abstractNumId w:val="8"/>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087B"/>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672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408"/>
    <w:rsid w:val="001005FF"/>
    <w:rsid w:val="001062FB"/>
    <w:rsid w:val="001063E6"/>
    <w:rsid w:val="00113CF4"/>
    <w:rsid w:val="001153EA"/>
    <w:rsid w:val="00115643"/>
    <w:rsid w:val="00116765"/>
    <w:rsid w:val="001219F5"/>
    <w:rsid w:val="00121A20"/>
    <w:rsid w:val="0012377F"/>
    <w:rsid w:val="00124314"/>
    <w:rsid w:val="00126B4A"/>
    <w:rsid w:val="00131E84"/>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2D8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3FD4"/>
    <w:rsid w:val="002C41E6"/>
    <w:rsid w:val="002D071A"/>
    <w:rsid w:val="002D34B2"/>
    <w:rsid w:val="002D48B0"/>
    <w:rsid w:val="002D4F3E"/>
    <w:rsid w:val="002D5B37"/>
    <w:rsid w:val="002D7637"/>
    <w:rsid w:val="002E17F2"/>
    <w:rsid w:val="002E7CAE"/>
    <w:rsid w:val="002F13E4"/>
    <w:rsid w:val="002F2771"/>
    <w:rsid w:val="002F37A9"/>
    <w:rsid w:val="00301CE6"/>
    <w:rsid w:val="0030256B"/>
    <w:rsid w:val="0030501F"/>
    <w:rsid w:val="00307BA1"/>
    <w:rsid w:val="00311702"/>
    <w:rsid w:val="00311E82"/>
    <w:rsid w:val="00313D61"/>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2FD3"/>
    <w:rsid w:val="003742AC"/>
    <w:rsid w:val="00377CE1"/>
    <w:rsid w:val="00385BF0"/>
    <w:rsid w:val="003939FF"/>
    <w:rsid w:val="00396B4A"/>
    <w:rsid w:val="003A2223"/>
    <w:rsid w:val="003A2A0F"/>
    <w:rsid w:val="003A45A1"/>
    <w:rsid w:val="003A5105"/>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266"/>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3950"/>
    <w:rsid w:val="00554D93"/>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6474"/>
    <w:rsid w:val="005E385F"/>
    <w:rsid w:val="005E5B81"/>
    <w:rsid w:val="005F2CB1"/>
    <w:rsid w:val="005F3025"/>
    <w:rsid w:val="005F618C"/>
    <w:rsid w:val="005F70BD"/>
    <w:rsid w:val="005F7C4A"/>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6BC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B32"/>
    <w:rsid w:val="007257D0"/>
    <w:rsid w:val="00725BB7"/>
    <w:rsid w:val="00726EA6"/>
    <w:rsid w:val="00727208"/>
    <w:rsid w:val="00727680"/>
    <w:rsid w:val="007348B1"/>
    <w:rsid w:val="007362A6"/>
    <w:rsid w:val="00736486"/>
    <w:rsid w:val="00736D7D"/>
    <w:rsid w:val="00740E58"/>
    <w:rsid w:val="007445A0"/>
    <w:rsid w:val="0074524B"/>
    <w:rsid w:val="00747D8B"/>
    <w:rsid w:val="00751228"/>
    <w:rsid w:val="007571E1"/>
    <w:rsid w:val="007604B2"/>
    <w:rsid w:val="00765281"/>
    <w:rsid w:val="00766BAD"/>
    <w:rsid w:val="007729A2"/>
    <w:rsid w:val="007739A6"/>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196D"/>
    <w:rsid w:val="007E3F6A"/>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46B"/>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2C93"/>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1FB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9B"/>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7C45"/>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F5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1998"/>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579"/>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42C1"/>
    <w:rsid w:val="00DE5608"/>
    <w:rsid w:val="00DE58D0"/>
    <w:rsid w:val="00DE654F"/>
    <w:rsid w:val="00DF0B6E"/>
    <w:rsid w:val="00DF15E0"/>
    <w:rsid w:val="00DF37A0"/>
    <w:rsid w:val="00E110E7"/>
    <w:rsid w:val="00E11B20"/>
    <w:rsid w:val="00E17FA2"/>
    <w:rsid w:val="00E20319"/>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2DE2"/>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PlaceholderText">
    <w:name w:val="Placeholder Text"/>
    <w:basedOn w:val="DefaultParagraphFont"/>
    <w:uiPriority w:val="99"/>
    <w:semiHidden/>
    <w:rsid w:val="000767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mentor.ieee.org/802.11/dcn/16/11-16-0456-00-00aj-overview-of-802-11aj-60ghz-and-its-backward-compatibility-features.ppt"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
    <ds:schemaRef ds:uri="2f282d3b-eb4a-4b09-b61f-b9593442e286"/>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87429D4-1AF9-447F-A05B-9D88B2D068A2}"/>
</file>

<file path=customXml/itemProps4.xml><?xml version="1.0" encoding="utf-8"?>
<ds:datastoreItem xmlns:ds="http://schemas.openxmlformats.org/officeDocument/2006/customXml" ds:itemID="{471A11D4-D296-4CF6-A213-05F8F7D53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7</Pages>
  <Words>2473</Words>
  <Characters>13745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16186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18</cp:revision>
  <cp:lastPrinted>2008-01-31T07:09:00Z</cp:lastPrinted>
  <dcterms:created xsi:type="dcterms:W3CDTF">2020-08-29T07:51:00Z</dcterms:created>
  <dcterms:modified xsi:type="dcterms:W3CDTF">2021-01-19T01:50:00Z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500150a8-66a9-443f-82c9-8c5cdcff520f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42715300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5NUHHDQN7SK2-1476151046-427153</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https://ericsson.sharepoint.com/sites/star/_layouts/15/DocIdRedir.aspx?ID=5NUHHDQN7SK2-1476151046-427153, 5NUHHDQN7SK2-1476151046-427153</vt:lpwstr>
  </property>
</Properties>
</file>